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both"/>
      </w:pPr>
      <w:bookmarkStart w:colFirst="0" w:colLast="0" w:name="_57l6uv1e128i" w:id="0"/>
      <w:bookmarkEnd w:id="0"/>
      <w:r w:rsidDel="00000000" w:rsidR="00000000" w:rsidRPr="00000000">
        <w:rPr>
          <w:rtl w:val="0"/>
        </w:rPr>
        <w:t xml:space="preserve">Geometría base:</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forma: no cuadrada</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cotas: h: 215 mm, a: 200 mm, f:a determinar, en torno a 120 mm, grosor de paredes: 8 mm en caras laterales y 10 mm en cara frontal y tapa. He reducido por el momento la dimensión máxima porque la impresora solo llega hasta 215 mm.</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aristas en bruto sin redondear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pu621t4itjk4" w:id="1"/>
      <w:bookmarkEnd w:id="1"/>
      <w:r w:rsidDel="00000000" w:rsidR="00000000" w:rsidRPr="00000000">
        <w:rPr>
          <w:rtl w:val="0"/>
        </w:rPr>
        <w:t xml:space="preserve">Pulsador BigDome: </w:t>
      </w:r>
      <w:r w:rsidDel="00000000" w:rsidR="00000000" w:rsidRPr="00000000">
        <w:rPr>
          <w:color w:val="00ff00"/>
          <w:rtl w:val="0"/>
        </w:rPr>
        <w:t xml:space="preserve">(Ok)</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posición: centrado a 70 mm de la base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forma: cilindro</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cotas: 24 mm diámetro el elemento pasante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fyjd32nynf7g" w:id="2"/>
      <w:bookmarkEnd w:id="2"/>
      <w:r w:rsidDel="00000000" w:rsidR="00000000" w:rsidRPr="00000000">
        <w:rPr>
          <w:rtl w:val="0"/>
        </w:rPr>
        <w:t xml:space="preserve">Altavoz: </w:t>
      </w:r>
      <w:r w:rsidDel="00000000" w:rsidR="00000000" w:rsidRPr="00000000">
        <w:rPr>
          <w:color w:val="00ff00"/>
          <w:rtl w:val="0"/>
        </w:rPr>
        <w:t xml:space="preserve">(Ok)</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posición: centrado a 50mm del techo (ligera modificación de esta dimensión porque el chasis interfería con la pared superior de la caja).</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diseño de orificios: uno solo igual al diámetro del cono (75mm).</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cotas: diámetro de cono 75mm, chasis cuadrado 85mm, distancia entre tornillos 65mm.</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fijación a la carcasa: diseñado sistema para la fijación con railes de inserción achaflanados (en los que encaja el chasis cuadrado de 85mm). Con esta sujección y un poco de ayuda de un adhesivo podría ser suficiente.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t5bxlbg3abkl" w:id="3"/>
      <w:bookmarkEnd w:id="3"/>
      <w:r w:rsidDel="00000000" w:rsidR="00000000" w:rsidRPr="00000000">
        <w:rPr>
          <w:rtl w:val="0"/>
        </w:rPr>
        <w:t xml:space="preserve">Potenciómetro: </w:t>
      </w:r>
      <w:r w:rsidDel="00000000" w:rsidR="00000000" w:rsidRPr="00000000">
        <w:rPr>
          <w:color w:val="00ff00"/>
          <w:rtl w:val="0"/>
        </w:rPr>
        <w:t xml:space="preserve">(Ok)</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posición: cara inferior, centrado, cerca de la cara frontal</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forma: eje cilíndrico</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cotas: según data (p160-20748) diámetro eje 6mm, se ha contemplado dejar hueco entre centro de eje y carcasa de al menos 10mm para que quepa el cuerpo del potenciómetro.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tlkjczt3pbwh" w:id="4"/>
      <w:bookmarkEnd w:id="4"/>
      <w:r w:rsidDel="00000000" w:rsidR="00000000" w:rsidRPr="00000000">
        <w:rPr>
          <w:rtl w:val="0"/>
        </w:rPr>
        <w:t xml:space="preserve">PIR: </w:t>
      </w:r>
      <w:r w:rsidDel="00000000" w:rsidR="00000000" w:rsidRPr="00000000">
        <w:rPr>
          <w:color w:val="00ff00"/>
          <w:rtl w:val="0"/>
        </w:rPr>
        <w:t xml:space="preserve">(Ok)</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posición: no es posible seguir el esquema propuesto, se modifica ligeramente.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forma: cuadrado, ojo: necesidad de rebaje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cotas: placa de 32x24, parte visible cuadrada de 24x24 con sólo 3 mm de altura sobre placa por lo que hacemos notable rebaje de 7mm en la cara frontal. Rebaje de 32x32 para tener libertad de colocar el PIR con la orientación que sea más conveniente para el cableado y ajuste.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whtqsqqkwddb" w:id="5"/>
      <w:bookmarkEnd w:id="5"/>
      <w:r w:rsidDel="00000000" w:rsidR="00000000" w:rsidRPr="00000000">
        <w:rPr>
          <w:rtl w:val="0"/>
        </w:rPr>
        <w:t xml:space="preserve">Fijaciones a pared: </w:t>
      </w:r>
      <w:r w:rsidDel="00000000" w:rsidR="00000000" w:rsidRPr="00000000">
        <w:rPr>
          <w:color w:val="00ff00"/>
          <w:rtl w:val="0"/>
        </w:rPr>
        <w:t xml:space="preserve">(No procede)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A propuesta de Arturo </w:t>
      </w:r>
      <w:r w:rsidDel="00000000" w:rsidR="00000000" w:rsidRPr="00000000">
        <w:rPr>
          <w:rtl w:val="0"/>
        </w:rPr>
        <w:t xml:space="preserve">probaremos con fijaciones externas así que de momento no incluimos nada en diseño. Si finalmente requieren algún agujero pasante en la tapa sería sencillo incluirlo.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y647zby7rubf" w:id="6"/>
      <w:bookmarkEnd w:id="6"/>
      <w:r w:rsidDel="00000000" w:rsidR="00000000" w:rsidRPr="00000000">
        <w:rPr>
          <w:rtl w:val="0"/>
        </w:rPr>
        <w:t xml:space="preserve">Fijación de tapa a carcasa: </w:t>
      </w:r>
      <w:r w:rsidDel="00000000" w:rsidR="00000000" w:rsidRPr="00000000">
        <w:rPr>
          <w:color w:val="00ff00"/>
          <w:rtl w:val="0"/>
        </w:rPr>
        <w:t xml:space="preserve">(Ok)</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método: pestañas de ajuste y si es necesario completamos con adhesivo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