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59EE552F" w14:textId="4DCE2029" w:rsidR="00B82CBB" w:rsidRDefault="00EA5983">
      <w:r w:rsidRPr="00EA5983">
        <w:t>Specifikáció, részletes feladatleírás, követelménykatalógus</w:t>
      </w:r>
      <w:r>
        <w:t xml:space="preserve"> – Urbán Ákos</w:t>
      </w:r>
    </w:p>
    <w:p w14:paraId="66E9E796" w14:textId="49263F50" w:rsidR="00EA5983" w:rsidRDefault="00EA5983">
      <w:r w:rsidRPr="00EA5983">
        <w:t>A csapaton belül a munka felosztás</w:t>
      </w:r>
      <w:r>
        <w:t>a – Urbán Ákos</w:t>
      </w:r>
    </w:p>
    <w:p w14:paraId="5007DEA4" w14:textId="73570A6B" w:rsidR="00EA5983" w:rsidRDefault="00EA5983">
      <w:r w:rsidRPr="00EA5983">
        <w:t>Logikai adatfolyam-diagramok</w:t>
      </w:r>
      <w:r>
        <w:t xml:space="preserve"> – Urbán Ákos</w:t>
      </w:r>
    </w:p>
    <w:p w14:paraId="0B548D88" w14:textId="1FEEE46C" w:rsidR="00EA5983" w:rsidRDefault="00EA5983">
      <w:r w:rsidRPr="00EA5983">
        <w:t>Fizikai adatfolyam-diagramok</w:t>
      </w:r>
      <w:r>
        <w:t xml:space="preserve"> – Urbán Áko</w:t>
      </w:r>
      <w:r w:rsidR="00A6796D">
        <w:t>s</w:t>
      </w:r>
    </w:p>
    <w:p w14:paraId="7A28344B" w14:textId="77777777" w:rsidR="00EA5983" w:rsidRDefault="00EA5983"/>
    <w:p w14:paraId="6C23763C" w14:textId="6E976C95" w:rsidR="00EA5983" w:rsidRDefault="00EA5983">
      <w:r w:rsidRPr="00EA5983">
        <w:t>Egyedmodell</w:t>
      </w:r>
      <w:r>
        <w:t xml:space="preserve"> – Temesvári Ráhel</w:t>
      </w:r>
    </w:p>
    <w:p w14:paraId="64E50E37" w14:textId="7D5B67C6" w:rsidR="00EA5983" w:rsidRDefault="00EA5983">
      <w:r w:rsidRPr="00EA5983">
        <w:t>Egyed-kapcsolat diagram</w:t>
      </w:r>
      <w:r>
        <w:t xml:space="preserve"> – Temesvári Ráhel</w:t>
      </w:r>
    </w:p>
    <w:p w14:paraId="0FBB472C" w14:textId="626F0D33" w:rsidR="00EA5983" w:rsidRDefault="00EA5983">
      <w:r w:rsidRPr="00EA5983">
        <w:t>Egyed-kapcsolat diagram leképezése relációs adatbázissémákká</w:t>
      </w:r>
      <w:r>
        <w:t xml:space="preserve"> – Temesvári Ráhel</w:t>
      </w:r>
    </w:p>
    <w:p w14:paraId="75725E29" w14:textId="50155F62" w:rsidR="00EA5983" w:rsidRDefault="00EA5983">
      <w:r w:rsidRPr="00EA5983">
        <w:t>Funkcionális függőségek felírása, relációsémák normalizálása 3NF-ig</w:t>
      </w:r>
      <w:r>
        <w:t xml:space="preserve"> – Temesvári Ráhel</w:t>
      </w:r>
    </w:p>
    <w:p w14:paraId="121D2B36" w14:textId="77777777" w:rsidR="00EA5983" w:rsidRDefault="00EA5983"/>
    <w:p w14:paraId="5E82AB19" w14:textId="3BC5E9FF" w:rsidR="00EA5983" w:rsidRDefault="00EA5983">
      <w:r w:rsidRPr="00EA5983">
        <w:t>Egyed-esemény mátrix</w:t>
      </w:r>
      <w:r>
        <w:t xml:space="preserve"> – Zdolik Bence</w:t>
      </w:r>
    </w:p>
    <w:p w14:paraId="7194D096" w14:textId="034C98B7" w:rsidR="00EA5983" w:rsidRDefault="00EA5983">
      <w:r w:rsidRPr="00EA5983">
        <w:t>Szerep-funkció mátrix</w:t>
      </w:r>
      <w:r>
        <w:t xml:space="preserve"> – Zdolik Bence</w:t>
      </w:r>
    </w:p>
    <w:p w14:paraId="77F98C57" w14:textId="69082DA9" w:rsidR="00EA5983" w:rsidRDefault="00EA5983">
      <w:r w:rsidRPr="00EA5983">
        <w:t>Funkciómeghatározás (funkcióleírás)</w:t>
      </w:r>
      <w:r>
        <w:t xml:space="preserve"> – Zdolik Bence</w:t>
      </w:r>
    </w:p>
    <w:p w14:paraId="3B8AA0D1" w14:textId="77777777" w:rsidR="00EA5983" w:rsidRDefault="00EA5983"/>
    <w:p w14:paraId="7E5089BD" w14:textId="158FBE84" w:rsidR="00EA5983" w:rsidRDefault="00EA5983">
      <w:r w:rsidRPr="00EA5983">
        <w:t>Képernyőtervek</w:t>
      </w:r>
      <w:r w:rsidR="00103328">
        <w:t xml:space="preserve"> - opcionális</w:t>
      </w:r>
    </w:p>
    <w:p w14:paraId="16A52976" w14:textId="54A3E639" w:rsidR="00EA5983" w:rsidRPr="00EA5983" w:rsidRDefault="00EA5983">
      <w:r>
        <w:t>Menütervek</w:t>
      </w:r>
      <w:r w:rsidR="00103328">
        <w:t xml:space="preserve"> - opcionális</w:t>
      </w:r>
    </w:p>
    <w:p w14:paraId="2746DE1E" w14:textId="77777777" w:rsidR="00B82CBB" w:rsidRDefault="00B82CBB">
      <w:pPr>
        <w:rPr>
          <w:sz w:val="28"/>
          <w:lang w:val="hu-HU"/>
        </w:rPr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7C3E9F">
      <w:pPr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7C3E9F">
      <w:pPr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7C3E9F">
      <w:pPr>
        <w:numPr>
          <w:ilvl w:val="0"/>
          <w:numId w:val="1"/>
        </w:numPr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103328">
      <w:pPr>
        <w:ind w:left="720"/>
        <w:rPr>
          <w:lang w:val="hu-HU"/>
        </w:rPr>
      </w:pPr>
    </w:p>
    <w:p w14:paraId="3E548954" w14:textId="232A9711" w:rsidR="007C3E9F" w:rsidRPr="007C3E9F" w:rsidRDefault="007C3E9F" w:rsidP="007C3E9F">
      <w:pPr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>
      <w:pPr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8745">
    <w:abstractNumId w:val="2"/>
  </w:num>
  <w:num w:numId="2" w16cid:durableId="236206471">
    <w:abstractNumId w:val="1"/>
  </w:num>
  <w:num w:numId="3" w16cid:durableId="2847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103328"/>
    <w:rsid w:val="005F1E57"/>
    <w:rsid w:val="007C3E9F"/>
    <w:rsid w:val="007D49C3"/>
    <w:rsid w:val="00A6796D"/>
    <w:rsid w:val="00B82CBB"/>
    <w:rsid w:val="00BC7B30"/>
    <w:rsid w:val="00E6522F"/>
    <w:rsid w:val="00EA5983"/>
    <w:rsid w:val="00E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24</cp:revision>
  <dcterms:created xsi:type="dcterms:W3CDTF">2019-02-11T08:17:00Z</dcterms:created>
  <dcterms:modified xsi:type="dcterms:W3CDTF">2025-03-03T11:19:00Z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