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w:t>
      </w:r>
      <w:r>
        <w:br w:type="textWrapping"/>
      </w:r>
      <w:r>
        <w:t xml:space="preserve">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Dedicated Support,</w:t>
      </w:r>
      <w:r>
        <w:br w:type="textWrapping"/>
      </w:r>
      <w:r>
        <w:t xml:space="preserve">you also agree to the</w:t>
      </w:r>
      <w:r>
        <w:t xml:space="preserve"> </w:t>
      </w:r>
      <w:hyperlink w:anchor="dedicated-support">
        <w:r>
          <w:rPr>
            <w:rStyle w:val="Hyperlink"/>
          </w:rPr>
          <w:t xml:space="preserve">Dedicated Support Terms</w:t>
        </w:r>
      </w:hyperlink>
      <w:r>
        <w:t xml:space="preserve">.</w:t>
      </w:r>
    </w:p>
    <w:p>
      <w:pPr>
        <w:pStyle w:val="BodyText"/>
      </w:pPr>
      <w:r>
        <w:t xml:space="preserve">If you use the Reference Architecture,</w:t>
      </w:r>
      <w:r>
        <w:br w:type="textWrapping"/>
      </w:r>
      <w:r>
        <w:t xml:space="preserve">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w:t>
      </w:r>
      <w:r>
        <w:br w:type="textWrapping"/>
      </w:r>
      <w:r>
        <w:t xml:space="preserve">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terms-of-service-updates"/>
      <w:r>
        <w:t xml:space="preserve">Terms of Service Updates</w:t>
      </w:r>
      <w:bookmarkEnd w:id="43"/>
    </w:p>
    <w:p>
      <w:pPr>
        <w:pStyle w:val="FirstParagraph"/>
      </w:pPr>
      <w:r>
        <w:rPr>
          <w:b/>
        </w:rPr>
        <w:t xml:space="preserve">Export Control Laws.</w:t>
      </w:r>
      <w:r>
        <w:t xml:space="preserve"> </w:t>
      </w:r>
      <w:r>
        <w:t xml:space="preserve">You acknowledge that the Services and any related products, information, documentation, services, technology, technical data, and any derivatives thereof, that Gruntwork makes available (collectively “Excluded Data”), is subject to export control laws and regulations of the United States (including, without limitation, the U.S. Export Administration Act and the sanctions regulations administered by the U.S. Department of the Treasury Office of Foreign Assets Control (“OFAC”)) and other jurisdictions (collectively “Export Laws”). You represent and warrant that you will not access, download, use, export or re-export, directly or indirectly, the Excluded Data to any location, entity, government or person prohibited by Export Laws (including, without limitation, to any end user in a U.S. embargoed country or territory or an end user included on OFAC’s listing of Specially Designated Nationals or the U.S. Commerce Department’s Entity List or Denied Persons List), without first complying with all Export Laws that may be imposed by the U.S. Government and any country or organization of nations within whose jurisdiction you operate or do business. You are solely responsible for complying with Export Laws for all Excluded Data and any of its content transmitted through the Services.</w:t>
      </w:r>
    </w:p>
    <w:p>
      <w:pPr>
        <w:pStyle w:val="Heading2"/>
      </w:pPr>
      <w:bookmarkStart w:id="44" w:name="gruntwork-subscription"/>
      <w:r>
        <w:t xml:space="preserve">Gruntwork Subscription Terms</w:t>
      </w:r>
      <w:bookmarkEnd w:id="44"/>
    </w:p>
    <w:p>
      <w:pPr>
        <w:pStyle w:val="FirstParagraph"/>
      </w:pPr>
      <w:r>
        <w:t xml:space="preserve">This attachment was last updated on July 15, 2018. Unless otherwise defined in these Gruntwork Subscription Terms, capitalized terms will have the meaning given to them in the Terms.</w:t>
      </w:r>
    </w:p>
    <w:p>
      <w:pPr>
        <w:pStyle w:val="Heading3"/>
      </w:pPr>
      <w:bookmarkStart w:id="45" w:name="term-and-termination-1"/>
      <w:r>
        <w:t xml:space="preserve">1. Term and Termination</w:t>
      </w:r>
      <w:bookmarkEnd w:id="45"/>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created by Gruntwork specifically for you.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Heading3"/>
      </w:pPr>
      <w:bookmarkStart w:id="46" w:name="payment-terms"/>
      <w:r>
        <w:t xml:space="preserve">2. Payment Terms</w:t>
      </w:r>
      <w:bookmarkEnd w:id="46"/>
    </w:p>
    <w:p>
      <w:pPr>
        <w:pStyle w:val="FirstParagraph"/>
      </w:pPr>
      <w:r>
        <w:t xml:space="preserve">In consideration for the Gruntwork Subscription, you shall pay Gruntwork the rate specified at</w:t>
      </w:r>
      <w:r>
        <w:t xml:space="preserve"> </w:t>
      </w:r>
      <w:hyperlink r:id="rId47">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8" w:name="included-features"/>
      <w:r>
        <w:t xml:space="preserve">3. Included Features</w:t>
      </w:r>
      <w:bookmarkEnd w:id="48"/>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9">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Forum Support.</w:t>
      </w:r>
      <w:r>
        <w:t xml:space="preserve"> </w:t>
      </w:r>
      <w:r>
        <w:t xml:space="preserve">Gruntwork provides a community forum where Gruntwork customers may ask questions, discuss design decisions, and work together as a community. Gruntwork employees will regularly monitor this forum and provide help when appropriate. This communication will be done over a medium determined by Gruntwork, such as a Discourse Forum, mailing list, Google Group, or Slack channel.</w:t>
      </w:r>
    </w:p>
    <w:p>
      <w:pPr>
        <w:pStyle w:val="Heading3"/>
      </w:pPr>
      <w:bookmarkStart w:id="50" w:name="disclaimer-regarding-software-updates"/>
      <w:r>
        <w:t xml:space="preserve">4. Disclaimer Regarding Software Updates</w:t>
      </w:r>
      <w:bookmarkEnd w:id="50"/>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1" w:name="dedicated-support"/>
      <w:r>
        <w:t xml:space="preserve">Dedicated Support Terms</w:t>
      </w:r>
      <w:bookmarkEnd w:id="51"/>
    </w:p>
    <w:p>
      <w:pPr>
        <w:pStyle w:val="FirstParagraph"/>
      </w:pPr>
      <w:r>
        <w:t xml:space="preserve">This attachment was last updated on July 15, 2018. Unless otherwise defined in these Dedicated Support Terms, capitalized terms will have the meaning given to them in the Terms.</w:t>
      </w:r>
    </w:p>
    <w:p>
      <w:pPr>
        <w:pStyle w:val="Heading3"/>
      </w:pPr>
      <w:bookmarkStart w:id="52" w:name="term-and-termination-2"/>
      <w:r>
        <w:t xml:space="preserve">1. Term and Termination</w:t>
      </w:r>
      <w:bookmarkEnd w:id="52"/>
    </w:p>
    <w:p>
      <w:pPr>
        <w:pStyle w:val="FirstParagraph"/>
      </w:pPr>
      <w:r>
        <w:rPr>
          <w:b/>
        </w:rPr>
        <w:t xml:space="preserve">1.1. Term.</w:t>
      </w:r>
      <w:r>
        <w:t xml:space="preserve"> </w:t>
      </w:r>
      <w:r>
        <w:t xml:space="preserve">Your use of Dedicated Support, and these Dedicated Support Terms, will continue in force beginning on the date you submit your registration for the Dedicated Support until terminated by either Party pursuant to section 1.2 below.</w:t>
      </w:r>
    </w:p>
    <w:p>
      <w:pPr>
        <w:pStyle w:val="BodyText"/>
      </w:pPr>
      <w:r>
        <w:rPr>
          <w:b/>
        </w:rPr>
        <w:t xml:space="preserve">1.2. Termination for Convenience.</w:t>
      </w:r>
      <w:r>
        <w:t xml:space="preserve"> </w:t>
      </w:r>
      <w:r>
        <w:t xml:space="preserve">Your use of Dedicated Support, and these Dedicated Support Terms, may be terminated by either Gruntwork or you upon written notice to the other Party that clearly identifies Dedicated Support.</w:t>
      </w:r>
    </w:p>
    <w:p>
      <w:pPr>
        <w:pStyle w:val="BodyText"/>
      </w:pPr>
      <w:r>
        <w:rPr>
          <w:b/>
        </w:rPr>
        <w:t xml:space="preserve">1.3. Termination by You.</w:t>
      </w:r>
      <w:r>
        <w:t xml:space="preserve"> </w:t>
      </w:r>
      <w:r>
        <w:t xml:space="preserve">If you terminate your use of Dedicated Support, you shall not be entitled to any refund of any prepaid fees.</w:t>
      </w:r>
    </w:p>
    <w:p>
      <w:pPr>
        <w:pStyle w:val="Heading3"/>
      </w:pPr>
      <w:bookmarkStart w:id="53" w:name="payment-terms-1"/>
      <w:r>
        <w:t xml:space="preserve">2. Payment Terms</w:t>
      </w:r>
      <w:bookmarkEnd w:id="53"/>
    </w:p>
    <w:p>
      <w:pPr>
        <w:pStyle w:val="FirstParagraph"/>
      </w:pPr>
      <w:r>
        <w:t xml:space="preserve">In consideration for the Dedicated Support, you shall pay Gruntwork the rate specified at</w:t>
      </w:r>
      <w:r>
        <w:t xml:space="preserve"> </w:t>
      </w:r>
      <w:hyperlink r:id="rId47">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1">
        <w:r>
          <w:rPr>
            <w:rStyle w:val="Hyperlink"/>
          </w:rPr>
          <w:t xml:space="preserve">section 1</w:t>
        </w:r>
      </w:hyperlink>
      <w:r>
        <w:t xml:space="preserve"> </w:t>
      </w:r>
      <w:r>
        <w:t xml:space="preserve">of these Dedicated Support Terms.</w:t>
      </w:r>
    </w:p>
    <w:p>
      <w:pPr>
        <w:pStyle w:val="Heading3"/>
      </w:pPr>
      <w:bookmarkStart w:id="54" w:name="included-features-1"/>
      <w:r>
        <w:t xml:space="preserve">3. Included Features</w:t>
      </w:r>
      <w:bookmarkEnd w:id="54"/>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Email Support.</w:t>
      </w:r>
      <w:r>
        <w:t xml:space="preserve"> </w:t>
      </w:r>
      <w:r>
        <w:t xml:space="preserve">Authorized Users may submit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 Slack Support.</w:t>
      </w:r>
      <w:r>
        <w:t xml:space="preserve"> </w:t>
      </w:r>
      <w:r>
        <w:t xml:space="preserve">Authorized Users may submit Support Requests via a shared channel on Slack.</w:t>
      </w:r>
    </w:p>
    <w:p>
      <w:pPr>
        <w:pStyle w:val="BodyText"/>
      </w:pPr>
      <w:r>
        <w:rPr>
          <w:b/>
        </w:rPr>
        <w:t xml:space="preserve">3.4. Phone/Video Support.</w:t>
      </w:r>
      <w:r>
        <w:t xml:space="preserve"> </w:t>
      </w:r>
      <w:r>
        <w:t xml:space="preserve">If Gruntwork and you mutually determine that a Support Request cannot be resolved asynchronously, the Parties will engage in a real-time phone or video chat.</w:t>
      </w:r>
    </w:p>
    <w:p>
      <w:pPr>
        <w:pStyle w:val="BodyText"/>
      </w:pPr>
      <w:r>
        <w:rPr>
          <w:b/>
        </w:rPr>
        <w:t xml:space="preserve">3.5. Availability.</w:t>
      </w:r>
      <w:r>
        <w:t xml:space="preserve"> </w:t>
      </w:r>
      <w:r>
        <w:t xml:space="preserve">From time to time, for example on national holidays, no Gruntwork personnel may be available to handle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3.5.1.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BodyText"/>
      </w:pPr>
      <w:r>
        <w:rPr>
          <w:b/>
        </w:rPr>
        <w:t xml:space="preserve">3.5.2. Service Level Agreement.</w:t>
      </w:r>
      <w:r>
        <w:t xml:space="preserve"> </w:t>
      </w:r>
      <w:r>
        <w:t xml:space="preserve">Gruntwork shall make a good-faith effort to respond to the Support Request within a reasonable timeframe, but in no case shall Gruntwork respond later than one business day after the Support Request was submitted.</w:t>
      </w:r>
    </w:p>
    <w:p>
      <w:pPr>
        <w:pStyle w:val="BodyText"/>
      </w:pPr>
      <w:r>
        <w:rPr>
          <w:b/>
        </w:rPr>
        <w:t xml:space="preserve">3.5.3. Security Alerts.</w:t>
      </w:r>
      <w:r>
        <w:t xml:space="preserve"> </w:t>
      </w:r>
      <w:r>
        <w:t xml:space="preserve">Authorized Users may sign up for the Gruntwork security vulnerabilities list. Gruntwork will use this list to notify Authorized Users of urgent security vulnerabilities.</w:t>
      </w:r>
    </w:p>
    <w:p>
      <w:pPr>
        <w:pStyle w:val="Heading2"/>
      </w:pPr>
      <w:bookmarkStart w:id="55" w:name="reference-architecture"/>
      <w:r>
        <w:t xml:space="preserve">Reference Architecture Terms</w:t>
      </w:r>
      <w:bookmarkEnd w:id="55"/>
    </w:p>
    <w:p>
      <w:pPr>
        <w:pStyle w:val="FirstParagraph"/>
      </w:pPr>
      <w:r>
        <w:t xml:space="preserve">This attachment was last updated on July 15, 2018. Unless otherwise defined in these Reference Architecture Terms, capitalized terms will have the meaning given to them in the Terms.</w:t>
      </w:r>
    </w:p>
    <w:p>
      <w:pPr>
        <w:pStyle w:val="Heading3"/>
      </w:pPr>
      <w:bookmarkStart w:id="56" w:name="term-and-termination-3"/>
      <w:r>
        <w:t xml:space="preserve">1. Term and Termination</w:t>
      </w:r>
      <w:bookmarkEnd w:id="56"/>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w:t>
      </w:r>
    </w:p>
    <w:p>
      <w:pPr>
        <w:pStyle w:val="Heading3"/>
      </w:pPr>
      <w:bookmarkStart w:id="57" w:name="payment-terms-2"/>
      <w:r>
        <w:t xml:space="preserve">2. Payment Terms</w:t>
      </w:r>
      <w:bookmarkEnd w:id="57"/>
    </w:p>
    <w:p>
      <w:pPr>
        <w:pStyle w:val="FirstParagraph"/>
      </w:pPr>
      <w:r>
        <w:t xml:space="preserve">In consideration for the Reference Architecture, you shall pay Gruntwork the rate specified at</w:t>
      </w:r>
      <w:r>
        <w:t xml:space="preserve"> </w:t>
      </w:r>
      <w:hyperlink r:id="rId47">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8" w:name="included-features-2"/>
      <w:r>
        <w:t xml:space="preserve">3. Included Features</w:t>
      </w:r>
      <w:bookmarkEnd w:id="58"/>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9" w:name="gruntwork-houston"/>
      <w:r>
        <w:t xml:space="preserve">Gruntwork Houston Terms</w:t>
      </w:r>
      <w:bookmarkEnd w:id="59"/>
    </w:p>
    <w:p>
      <w:pPr>
        <w:pStyle w:val="FirstParagraph"/>
      </w:pPr>
      <w:r>
        <w:t xml:space="preserve">This attachment was last updated on September 17, 2018.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60" w:name="term-and-termination-4"/>
      <w:r>
        <w:t xml:space="preserve">1. Term and Termination</w:t>
      </w:r>
      <w:bookmarkEnd w:id="60"/>
    </w:p>
    <w:p>
      <w:pPr>
        <w:pStyle w:val="FirstParagraph"/>
      </w:pPr>
      <w:r>
        <w:rPr>
          <w:b/>
        </w:rPr>
        <w:t xml:space="preserve">1.1. Term and Termination.</w:t>
      </w:r>
      <w:r>
        <w:t xml:space="preserve"> </w:t>
      </w:r>
      <w:r>
        <w:t xml:space="preserve">Your use of Houston, and these Houston Terms, will begin on the date you deploy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your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1.5.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1" w:name="payment-terms-3"/>
      <w:r>
        <w:t xml:space="preserve">2. Payment Terms</w:t>
      </w:r>
      <w:bookmarkEnd w:id="61"/>
    </w:p>
    <w:p>
      <w:pPr>
        <w:pStyle w:val="FirstParagraph"/>
      </w:pPr>
      <w:r>
        <w:t xml:space="preserve">Your payment for the Gruntwork Subscription entitles your Authorized Users for your Gruntwork Subscription to also use Houston.</w:t>
      </w:r>
    </w:p>
    <w:p>
      <w:pPr>
        <w:pStyle w:val="Heading3"/>
      </w:pPr>
      <w:bookmarkStart w:id="62" w:name="included-features-3"/>
      <w:r>
        <w:t xml:space="preserve">3. Included Features</w:t>
      </w:r>
      <w:bookmarkEnd w:id="62"/>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Authorized User will have access to the Houston services and Houston downloadable tools, but not to the Houston source code repository, which shall remain private to Gruntwork.</w:t>
      </w:r>
    </w:p>
    <w:p>
      <w:pPr>
        <w:pStyle w:val="BodyText"/>
      </w:pPr>
      <w:r>
        <w:rPr>
          <w:b/>
        </w:rPr>
        <w:t xml:space="preserve">3.2.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3" w:name="customer-responsibilities"/>
      <w:r>
        <w:t xml:space="preserve">4. Customer Responsibilities</w:t>
      </w:r>
      <w:bookmarkEnd w:id="63"/>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4" w:name="additional-provisions"/>
      <w:r>
        <w:t xml:space="preserve">5. Additional Provisions</w:t>
      </w:r>
      <w:bookmarkEnd w:id="64"/>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Export Control Laws.</w:t>
      </w:r>
      <w:r>
        <w:t xml:space="preserve"> </w:t>
      </w:r>
      <w:r>
        <w:t xml:space="preserve">You acknowledge that the Services and any related products, information, documentation, services, technology, technical data, and any derivatives thereof, that Gruntwork makes available (collectively “Excluded Data”), is subject to export control laws and regulations of the United States (including, without limitation, the U.S. Export Administration Act and the sanctions regulations administered by the U.S. Department of the Treasury Office of Foreign Assets Control (“OFAC”)) and other jurisdictions (collectively “Export Laws”). You represent and warrant that you will not access, download, use, export or re-export, directly or indirectly, the Excluded Data to any location, entity, government or person prohibited by Export Laws (including, without limitation, to any end user in a U.S. embargoed country or territory or an end user included on OFAC’s listing of Specially Designated Nationals or the U.S. Commerce Department’s Entity List or Denied Persons List), without first complying with all Export Laws that may be imposed by the U.S. Government and any country or organization of nations within whose jurisdiction you operate or do business. You are solely responsible for complying with Export Laws for all Excluded Data and any of its content transmitted through the Services.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headerReference r:id="rId9" w:type="default"/>
      <w:pgSz w:h="15840" w:w="12240"/>
      <w:pgMar w:bottom="720" w:top="720" w:left="720" w:right="720"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2"/>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80" w:before="18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sz w:val="64"/>
      <w:szCs w:val="64"/>
    </w:rPr>
  </w:style>
  <w:style w:type="paragraph" w:styleId="Heading2">
    <w:name w:val="heading 2"/>
    <w:basedOn w:val="Normal"/>
    <w:next w:val="Normal"/>
    <w:pPr>
      <w:keepNext w:val="1"/>
      <w:keepLines w:val="1"/>
      <w:spacing w:after="200" w:before="200" w:lineRule="auto"/>
    </w:pPr>
    <w:rPr>
      <w:b w:val="1"/>
      <w:sz w:val="56"/>
      <w:szCs w:val="56"/>
    </w:rPr>
  </w:style>
  <w:style w:type="paragraph" w:styleId="Heading3">
    <w:name w:val="heading 3"/>
    <w:basedOn w:val="Normal"/>
    <w:next w:val="Normal"/>
    <w:pPr>
      <w:keepNext w:val="1"/>
      <w:keepLines w:val="1"/>
      <w:spacing w:after="200" w:before="200" w:lineRule="auto"/>
    </w:pPr>
    <w:rPr>
      <w:b w:val="1"/>
      <w:sz w:val="48"/>
      <w:szCs w:val="48"/>
    </w:rPr>
  </w:style>
  <w:style w:type="paragraph" w:styleId="Heading4">
    <w:name w:val="heading 4"/>
    <w:basedOn w:val="Normal"/>
    <w:next w:val="Normal"/>
    <w:pPr>
      <w:keepNext w:val="1"/>
      <w:keepLines w:val="1"/>
      <w:spacing w:after="200" w:before="200" w:lineRule="auto"/>
    </w:pPr>
    <w:rPr>
      <w:b w:val="1"/>
      <w:sz w:val="32"/>
      <w:szCs w:val="32"/>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9" Target="/infrastructure-as-code-library" TargetMode="External" /><Relationship Type="http://schemas.openxmlformats.org/officeDocument/2006/relationships/hyperlink" Id="rId47"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9" Target="/infrastructure-as-code-library" TargetMode="External" /><Relationship Type="http://schemas.openxmlformats.org/officeDocument/2006/relationships/hyperlink" Id="rId47"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2018-09-26T17:54:08Z</dcterms:created>
  <dcterms:modified xsi:type="dcterms:W3CDTF">2018-09-26T17:54:08Z</dcterms:modified>
</cp:coreProperties>
</file>