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F37" w:rsidRPr="00464F37" w:rsidRDefault="00464F37" w:rsidP="00464F37">
      <w:pPr>
        <w:jc w:val="both"/>
        <w:rPr>
          <w:rFonts w:ascii="Arial" w:hAnsi="Arial" w:cs="Arial"/>
          <w:sz w:val="24"/>
        </w:rPr>
      </w:pPr>
      <w:r w:rsidRPr="00464F37">
        <w:rPr>
          <w:rFonts w:ascii="Arial" w:hAnsi="Arial" w:cs="Arial"/>
          <w:sz w:val="24"/>
        </w:rPr>
        <w:t>Calva Hernández José Manuel</w:t>
      </w:r>
    </w:p>
    <w:p w:rsidR="00464F37" w:rsidRPr="00464F37" w:rsidRDefault="00464F37" w:rsidP="00464F37">
      <w:pPr>
        <w:jc w:val="both"/>
        <w:rPr>
          <w:rFonts w:ascii="Arial" w:hAnsi="Arial" w:cs="Arial"/>
          <w:sz w:val="24"/>
        </w:rPr>
      </w:pPr>
    </w:p>
    <w:p w:rsidR="00C666C4" w:rsidRPr="00464F37" w:rsidRDefault="003E1CB5" w:rsidP="00464F37">
      <w:pPr>
        <w:jc w:val="both"/>
        <w:rPr>
          <w:rFonts w:ascii="Arial" w:hAnsi="Arial" w:cs="Arial"/>
          <w:sz w:val="24"/>
        </w:rPr>
      </w:pPr>
      <w:r w:rsidRPr="00464F37">
        <w:rPr>
          <w:rFonts w:ascii="Arial" w:hAnsi="Arial" w:cs="Arial"/>
          <w:sz w:val="24"/>
        </w:rPr>
        <w:t xml:space="preserve">Concluido el análisis vertical porcentual, podemos observar que la mayor parte del activo se encuentra en las mercancías, </w:t>
      </w:r>
      <w:r w:rsidR="00464F37" w:rsidRPr="00464F37">
        <w:rPr>
          <w:rFonts w:ascii="Arial" w:hAnsi="Arial" w:cs="Arial"/>
          <w:sz w:val="24"/>
        </w:rPr>
        <w:t>que,</w:t>
      </w:r>
      <w:r w:rsidRPr="00464F37">
        <w:rPr>
          <w:rFonts w:ascii="Arial" w:hAnsi="Arial" w:cs="Arial"/>
          <w:sz w:val="24"/>
        </w:rPr>
        <w:t xml:space="preserve"> si bien no es tan preocupante debido a que conjuntamente el activo fijo es mayor, ocupando casi el 50%, si nos indica que hay una acumulación preocupante en este rubro.</w:t>
      </w:r>
      <w:r w:rsidR="00AE73CD" w:rsidRPr="00464F37">
        <w:rPr>
          <w:rFonts w:ascii="Arial" w:hAnsi="Arial" w:cs="Arial"/>
          <w:sz w:val="24"/>
        </w:rPr>
        <w:t xml:space="preserve"> A su vez, el análisis vertical de razones simples, específicamente el índice de apalancamiento en el rubro de </w:t>
      </w:r>
      <w:r w:rsidR="00464F37" w:rsidRPr="00464F37">
        <w:rPr>
          <w:rFonts w:ascii="Arial" w:hAnsi="Arial" w:cs="Arial"/>
          <w:sz w:val="24"/>
        </w:rPr>
        <w:t>estructura</w:t>
      </w:r>
      <w:r w:rsidR="00AE73CD" w:rsidRPr="00464F37">
        <w:rPr>
          <w:rFonts w:ascii="Arial" w:hAnsi="Arial" w:cs="Arial"/>
          <w:sz w:val="24"/>
        </w:rPr>
        <w:t xml:space="preserve"> nos dice que cada peso de nuestro activo está conformado por $0.45 de parte de los proveedores, lo cual es preocupante debido a que es casi la mitad de nuestros derechos. </w:t>
      </w:r>
    </w:p>
    <w:p w:rsidR="003E1CB5" w:rsidRPr="00464F37" w:rsidRDefault="003E1CB5" w:rsidP="00464F37">
      <w:pPr>
        <w:jc w:val="both"/>
        <w:rPr>
          <w:rFonts w:ascii="Arial" w:hAnsi="Arial" w:cs="Arial"/>
          <w:sz w:val="24"/>
        </w:rPr>
      </w:pPr>
      <w:r w:rsidRPr="00464F37">
        <w:rPr>
          <w:rFonts w:ascii="Arial" w:hAnsi="Arial" w:cs="Arial"/>
          <w:sz w:val="24"/>
        </w:rPr>
        <w:t xml:space="preserve">Por la parte del pasivo, nos encontramos con el rubro de adeudos bancarios como el mayor, que es un buen indicador ya que tenemos la obligación más relevante a largo plazo, sin embargo, conjuntamente el rubro de proveedores y de documentos por pagar llega a alcanzar el 41% del pasivo, lo que es preocupante ya que son deudas inmediatas. Cabe mencionar que el análisis vertical, concretamente en los índices de liquidez, la prueba del ácido nos da un indicar positivo respecto al último punto mencionado, ya que podemos pagar por lo menos una vez nuestras deudas inmediatas sin necesidad de recurrir a las mercancías, y ya si las tomamos en cuenta, la razón circulante nos dice que podemos pagarlas inclusive dos veces. Pero también debe hacerse </w:t>
      </w:r>
      <w:proofErr w:type="spellStart"/>
      <w:r w:rsidRPr="00464F37">
        <w:rPr>
          <w:rFonts w:ascii="Arial" w:hAnsi="Arial" w:cs="Arial"/>
          <w:sz w:val="24"/>
        </w:rPr>
        <w:t>incapié</w:t>
      </w:r>
      <w:proofErr w:type="spellEnd"/>
      <w:r w:rsidRPr="00464F37">
        <w:rPr>
          <w:rFonts w:ascii="Arial" w:hAnsi="Arial" w:cs="Arial"/>
          <w:sz w:val="24"/>
        </w:rPr>
        <w:t xml:space="preserve"> en que estos indicadores contrastan con las razones estándar, ya que si bien la razón circulante supera ésta por 0.16, la prueba del ácido queda muy por debajo de lo esperado.</w:t>
      </w:r>
    </w:p>
    <w:p w:rsidR="00AE73CD" w:rsidRPr="00464F37" w:rsidRDefault="00AE73CD" w:rsidP="00464F37">
      <w:pPr>
        <w:jc w:val="both"/>
        <w:rPr>
          <w:rFonts w:ascii="Arial" w:hAnsi="Arial" w:cs="Arial"/>
          <w:sz w:val="24"/>
        </w:rPr>
      </w:pPr>
      <w:r w:rsidRPr="00464F37">
        <w:rPr>
          <w:rFonts w:ascii="Arial" w:hAnsi="Arial" w:cs="Arial"/>
          <w:sz w:val="24"/>
        </w:rPr>
        <w:t xml:space="preserve">Respecto al capital, nos encontramos con un indicador muy preocupante, debido a que la utilidad, tanto la del ejercicio pasado, como la de éste, es excesivamente baja respecto al capital, ya que tienen en promedio un 11% de la composición del capital. Aunado a los índices de rentabilidad, principalmente el de utilidad que nos indica que únicamente hay un 10% de ésta, </w:t>
      </w:r>
      <w:proofErr w:type="gramStart"/>
      <w:r w:rsidRPr="00464F37">
        <w:rPr>
          <w:rFonts w:ascii="Arial" w:hAnsi="Arial" w:cs="Arial"/>
          <w:sz w:val="24"/>
        </w:rPr>
        <w:t>que</w:t>
      </w:r>
      <w:proofErr w:type="gramEnd"/>
      <w:r w:rsidRPr="00464F37">
        <w:rPr>
          <w:rFonts w:ascii="Arial" w:hAnsi="Arial" w:cs="Arial"/>
          <w:sz w:val="24"/>
        </w:rPr>
        <w:t xml:space="preserve"> si bien está sólo un poco por debajo de la razón estándar, sí está muy por debajo del ideal 30% que se busca en cualquier empresa. Sumando tanto el índice de retorno sobre activos y el retorno sobre patrimonio, podemos observar que los tres índices están por debajo de la razón estándar, lo que nos dice que la empresa no está dejando una ganancia ideal.</w:t>
      </w:r>
    </w:p>
    <w:p w:rsidR="00AE73CD" w:rsidRPr="00464F37" w:rsidRDefault="00AE73CD" w:rsidP="00464F37">
      <w:pPr>
        <w:jc w:val="both"/>
        <w:rPr>
          <w:rFonts w:ascii="Arial" w:hAnsi="Arial" w:cs="Arial"/>
          <w:sz w:val="24"/>
        </w:rPr>
      </w:pPr>
      <w:r w:rsidRPr="00464F37">
        <w:rPr>
          <w:rFonts w:ascii="Arial" w:hAnsi="Arial" w:cs="Arial"/>
          <w:sz w:val="24"/>
        </w:rPr>
        <w:t xml:space="preserve">En la parte de la estructura de la empresa, nos encontramos con el análisis vertical en cuanto a los índices de estructura, el primero de ellos es el de solvencia, que nos dice </w:t>
      </w:r>
      <w:r w:rsidR="00BB4E0E" w:rsidRPr="00464F37">
        <w:rPr>
          <w:rFonts w:ascii="Arial" w:hAnsi="Arial" w:cs="Arial"/>
          <w:sz w:val="24"/>
        </w:rPr>
        <w:t>que, a pesar de encontrarse por encima del mínimo, se encuentra muy por debajo del estándar, casi por un punto. Por otra parte, nos encontramos con una buena posición a largo plazo, ya que podemos cubrir nuestras obligaciones más de dos veces, siendo esto más de la razón estándar. Y al llegar a las inmovilizaciones, podemos recalcar que ambos indicadores son positivos debido a que nos muestran una buena inversión en activos fijos, inclusive muy por encima de la razón estándar, lo que nos indica que los socios están prestando atención en este rubro.</w:t>
      </w:r>
    </w:p>
    <w:p w:rsidR="00BB4E0E" w:rsidRPr="00464F37" w:rsidRDefault="00BB4E0E" w:rsidP="00464F37">
      <w:pPr>
        <w:jc w:val="both"/>
        <w:rPr>
          <w:rFonts w:ascii="Arial" w:hAnsi="Arial" w:cs="Arial"/>
          <w:sz w:val="24"/>
        </w:rPr>
      </w:pPr>
      <w:r w:rsidRPr="00464F37">
        <w:rPr>
          <w:rFonts w:ascii="Arial" w:hAnsi="Arial" w:cs="Arial"/>
          <w:sz w:val="24"/>
        </w:rPr>
        <w:lastRenderedPageBreak/>
        <w:t xml:space="preserve">Llegando a la parte final del análisis, en función de lo observado en el análisis vertical, concretamente las razones simples en los índices de rotación y administración de activos, podemos deducir que no tenemos una rotación suficiente de cuentas por cobrar, debido a que únicamente recuperamos éstas la mitad de las veces de la razón estándar, sin embargo, podemos ver una recuperación en el número de veces que recuperamos el monto de ventas que realizamos a crédito, ya que asciende a 60 veces al año, siento esto casi el triple de la razón estándar. Al llegar a los últimos índices podemos percibir un descuido en estos rubros debido a que el inventario se está rotando únicamente una vez al año, cuando la razón estándar es de 15 veces, lo cual es bastante preocupante, ya que los siguientes indicares también están por debajo, pero no de una forma tan drástica, </w:t>
      </w:r>
      <w:r w:rsidR="00464F37" w:rsidRPr="00464F37">
        <w:rPr>
          <w:rFonts w:ascii="Arial" w:hAnsi="Arial" w:cs="Arial"/>
          <w:sz w:val="24"/>
        </w:rPr>
        <w:t>sin embargo, es importante recalcarlos ya que los activos no se están cubriendo ni siquiera una vez en el ejercicio.</w:t>
      </w:r>
    </w:p>
    <w:p w:rsidR="00464F37" w:rsidRPr="00464F37" w:rsidRDefault="00464F37" w:rsidP="00464F37">
      <w:pPr>
        <w:jc w:val="both"/>
        <w:rPr>
          <w:rFonts w:ascii="Arial" w:hAnsi="Arial" w:cs="Arial"/>
          <w:sz w:val="24"/>
        </w:rPr>
      </w:pPr>
    </w:p>
    <w:p w:rsidR="00464F37" w:rsidRPr="00464F37" w:rsidRDefault="00464F37" w:rsidP="00464F37">
      <w:pPr>
        <w:jc w:val="both"/>
        <w:rPr>
          <w:rFonts w:ascii="Arial" w:hAnsi="Arial" w:cs="Arial"/>
          <w:sz w:val="24"/>
        </w:rPr>
      </w:pPr>
      <w:r w:rsidRPr="00464F37">
        <w:rPr>
          <w:rFonts w:ascii="Arial" w:hAnsi="Arial" w:cs="Arial"/>
          <w:sz w:val="24"/>
        </w:rPr>
        <w:t>A modo de conclusión, recomendamos a la empresa un principal interés en la rotación de los inventarios, ya que se encuentran preocupantemente bajo el indicador respectivo. Una vez aumentado esto, los demás indicadores deberían de mejorar drásticamente debido a que van relacionados a éste. A su vez, buscar esta rotación por medio de un mayor enfoque en las ventas, ya que hace falta mejorar los ingresos inmediatos percibidos por la empresa. Por otra parte, se recomienda a su vez invertir una mayor cantidad de dinero en el activo fijo, ya que no es posible que el inventario tenga el mismo peso que los rubros de ese individualmente.</w:t>
      </w:r>
    </w:p>
    <w:p w:rsidR="00767E32" w:rsidRDefault="00767E32" w:rsidP="00464F37">
      <w:pPr>
        <w:jc w:val="both"/>
      </w:pPr>
    </w:p>
    <w:p w:rsidR="000564C8" w:rsidRDefault="000564C8" w:rsidP="00464F37">
      <w:pPr>
        <w:jc w:val="both"/>
      </w:pPr>
      <w:r>
        <w:br w:type="page"/>
      </w:r>
    </w:p>
    <w:p w:rsidR="00767E32" w:rsidRDefault="000564C8" w:rsidP="00464F37">
      <w:pPr>
        <w:jc w:val="center"/>
      </w:pPr>
      <w:r>
        <w:rPr>
          <w:noProof/>
        </w:rPr>
        <w:lastRenderedPageBreak/>
        <w:drawing>
          <wp:inline distT="0" distB="0" distL="0" distR="0" wp14:anchorId="3C8FEB85" wp14:editId="784B347D">
            <wp:extent cx="4106333" cy="2463800"/>
            <wp:effectExtent l="0" t="0" r="8890" b="12700"/>
            <wp:docPr id="1" name="Gráfico 1">
              <a:extLst xmlns:a="http://schemas.openxmlformats.org/drawingml/2006/main">
                <a:ext uri="{FF2B5EF4-FFF2-40B4-BE49-F238E27FC236}">
                  <a16:creationId xmlns:a16="http://schemas.microsoft.com/office/drawing/2014/main" id="{818338C1-C3E5-4FB6-9C6D-0AFEAB362B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rsidR="000564C8" w:rsidRDefault="000564C8" w:rsidP="00464F37">
      <w:pPr>
        <w:jc w:val="center"/>
      </w:pPr>
      <w:r>
        <w:rPr>
          <w:noProof/>
        </w:rPr>
        <w:drawing>
          <wp:inline distT="0" distB="0" distL="0" distR="0" wp14:anchorId="20031FA6" wp14:editId="32E1E6BE">
            <wp:extent cx="4076700" cy="2446020"/>
            <wp:effectExtent l="0" t="0" r="0" b="11430"/>
            <wp:docPr id="4" name="Gráfico 4">
              <a:extLst xmlns:a="http://schemas.openxmlformats.org/drawingml/2006/main">
                <a:ext uri="{FF2B5EF4-FFF2-40B4-BE49-F238E27FC236}">
                  <a16:creationId xmlns:a16="http://schemas.microsoft.com/office/drawing/2014/main" id="{28EE51B8-B386-4FD5-A416-4DD5203780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64C8" w:rsidRDefault="000564C8" w:rsidP="00464F37">
      <w:pPr>
        <w:jc w:val="center"/>
      </w:pPr>
      <w:r>
        <w:rPr>
          <w:noProof/>
        </w:rPr>
        <w:drawing>
          <wp:inline distT="0" distB="0" distL="0" distR="0" wp14:anchorId="6ED5CC90" wp14:editId="1B15B4A3">
            <wp:extent cx="4067810" cy="2440936"/>
            <wp:effectExtent l="0" t="0" r="8890" b="17145"/>
            <wp:docPr id="5" name="Gráfico 5">
              <a:extLst xmlns:a="http://schemas.openxmlformats.org/drawingml/2006/main">
                <a:ext uri="{FF2B5EF4-FFF2-40B4-BE49-F238E27FC236}">
                  <a16:creationId xmlns:a16="http://schemas.microsoft.com/office/drawing/2014/main" id="{439A3795-2B21-4967-9825-40AF8FB3B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0564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32"/>
    <w:rsid w:val="000564C8"/>
    <w:rsid w:val="003E1CB5"/>
    <w:rsid w:val="00464F37"/>
    <w:rsid w:val="00767E32"/>
    <w:rsid w:val="00AE73CD"/>
    <w:rsid w:val="00BB4E0E"/>
    <w:rsid w:val="00C66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038C"/>
  <w15:chartTrackingRefBased/>
  <w15:docId w15:val="{D5235F41-4F47-48FC-A79B-D6632927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nue\Documents\Escuela\3er%20Semestre\Administraci&#243;n\Pr&#225;ctica%20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Activo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CC8-489E-8A5A-6C5435AE2EB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CC8-489E-8A5A-6C5435AE2EBC}"/>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CC8-489E-8A5A-6C5435AE2EBC}"/>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CC8-489E-8A5A-6C5435AE2EBC}"/>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CC8-489E-8A5A-6C5435AE2EBC}"/>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5CC8-489E-8A5A-6C5435AE2EBC}"/>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5CC8-489E-8A5A-6C5435AE2EBC}"/>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5CC8-489E-8A5A-6C5435AE2EBC}"/>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5CC8-489E-8A5A-6C5435AE2EBC}"/>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5CC8-489E-8A5A-6C5435AE2EBC}"/>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5-5CC8-489E-8A5A-6C5435AE2EBC}"/>
              </c:ext>
            </c:extLst>
          </c:dPt>
          <c:dLbls>
            <c:dLbl>
              <c:idx val="0"/>
              <c:layout>
                <c:manualLayout>
                  <c:x val="-4.7472789223339043E-2"/>
                  <c:y val="0.2544017371539897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CC8-489E-8A5A-6C5435AE2EBC}"/>
                </c:ext>
              </c:extLst>
            </c:dLbl>
            <c:dLbl>
              <c:idx val="1"/>
              <c:layout>
                <c:manualLayout>
                  <c:x val="-7.6506060775808474E-2"/>
                  <c:y val="0.1076982709635522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CC8-489E-8A5A-6C5435AE2EBC}"/>
                </c:ext>
              </c:extLst>
            </c:dLbl>
            <c:dLbl>
              <c:idx val="4"/>
              <c:layout>
                <c:manualLayout>
                  <c:x val="-4.5723116191051495E-2"/>
                  <c:y val="-0.181247260329572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CC8-489E-8A5A-6C5435AE2EBC}"/>
                </c:ext>
              </c:extLst>
            </c:dLbl>
            <c:dLbl>
              <c:idx val="9"/>
              <c:layout>
                <c:manualLayout>
                  <c:x val="1.7613147877084494E-2"/>
                  <c:y val="8.167383716210731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5CC8-489E-8A5A-6C5435AE2EBC}"/>
                </c:ext>
              </c:extLst>
            </c:dLbl>
            <c:dLbl>
              <c:idx val="10"/>
              <c:layout>
                <c:manualLayout>
                  <c:x val="1.2704126490838758E-2"/>
                  <c:y val="0.1693027031414887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5CC8-489E-8A5A-6C5435AE2EBC}"/>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(Balance!$B$7:$B$12,Balance!$B$16:$B$17,Balance!$B$19,Balance!$B$24:$B$25)</c:f>
              <c:strCache>
                <c:ptCount val="11"/>
                <c:pt idx="0">
                  <c:v>Caja</c:v>
                </c:pt>
                <c:pt idx="1">
                  <c:v>Bancos</c:v>
                </c:pt>
                <c:pt idx="2">
                  <c:v>Inversiones en valores</c:v>
                </c:pt>
                <c:pt idx="3">
                  <c:v>Mercancías</c:v>
                </c:pt>
                <c:pt idx="4">
                  <c:v>Clientes</c:v>
                </c:pt>
                <c:pt idx="5">
                  <c:v>Deudores diversos</c:v>
                </c:pt>
                <c:pt idx="6">
                  <c:v>Terrenos</c:v>
                </c:pt>
                <c:pt idx="7">
                  <c:v>Edificios</c:v>
                </c:pt>
                <c:pt idx="8">
                  <c:v>Equipo de oficina</c:v>
                </c:pt>
                <c:pt idx="9">
                  <c:v>Depósitos en garantía</c:v>
                </c:pt>
                <c:pt idx="10">
                  <c:v>Primas de seguros</c:v>
                </c:pt>
              </c:strCache>
            </c:strRef>
          </c:cat>
          <c:val>
            <c:numRef>
              <c:f>(Balance!$E$7:$E$12,Balance!$E$16,Balance!$E$18,Balance!$E$20,Balance!$E$24:$E$25)</c:f>
              <c:numCache>
                <c:formatCode>0.00%</c:formatCode>
                <c:ptCount val="11"/>
                <c:pt idx="0">
                  <c:v>6.5540710864633228E-2</c:v>
                </c:pt>
                <c:pt idx="1">
                  <c:v>9.2513234182001511E-2</c:v>
                </c:pt>
                <c:pt idx="2">
                  <c:v>3.7811948575749939E-2</c:v>
                </c:pt>
                <c:pt idx="3">
                  <c:v>0.23191328459793295</c:v>
                </c:pt>
                <c:pt idx="4">
                  <c:v>5.0415931434333247E-2</c:v>
                </c:pt>
                <c:pt idx="5">
                  <c:v>7.5623897151499871E-3</c:v>
                </c:pt>
                <c:pt idx="6">
                  <c:v>0.17645576002016639</c:v>
                </c:pt>
                <c:pt idx="7">
                  <c:v>0.20292412402319132</c:v>
                </c:pt>
                <c:pt idx="8">
                  <c:v>0.10209226115452483</c:v>
                </c:pt>
                <c:pt idx="9">
                  <c:v>2.2687169145449961E-2</c:v>
                </c:pt>
                <c:pt idx="10">
                  <c:v>1.0083186286866649E-2</c:v>
                </c:pt>
              </c:numCache>
            </c:numRef>
          </c:val>
          <c:extLst>
            <c:ext xmlns:c16="http://schemas.microsoft.com/office/drawing/2014/chart" uri="{C3380CC4-5D6E-409C-BE32-E72D297353CC}">
              <c16:uniqueId val="{00000016-5CC8-489E-8A5A-6C5435AE2EB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Pasivo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4BE-4201-975C-44D7014EBD2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4BE-4201-975C-44D7014EBD2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4BE-4201-975C-44D7014EBD20}"/>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4BE-4201-975C-44D7014EBD20}"/>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F4BE-4201-975C-44D7014EBD20}"/>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F4BE-4201-975C-44D7014EBD20}"/>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F4BE-4201-975C-44D7014EBD20}"/>
              </c:ext>
            </c:extLst>
          </c:dPt>
          <c:dLbls>
            <c:dLbl>
              <c:idx val="5"/>
              <c:layout>
                <c:manualLayout>
                  <c:x val="4.1569161331469082E-2"/>
                  <c:y val="0.1039938348827891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4BE-4201-975C-44D7014EBD20}"/>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(Balance!$G$7:$G$9,Balance!$G$12:$G$13,Balance!$G$16:$G$17)</c:f>
              <c:strCache>
                <c:ptCount val="7"/>
                <c:pt idx="0">
                  <c:v>Proveedores</c:v>
                </c:pt>
                <c:pt idx="1">
                  <c:v>Documentos por pagar</c:v>
                </c:pt>
                <c:pt idx="2">
                  <c:v>Acreedores diversos</c:v>
                </c:pt>
                <c:pt idx="3">
                  <c:v>Adeudos bancarios</c:v>
                </c:pt>
                <c:pt idx="4">
                  <c:v>Documentos por pagar a largo plazo</c:v>
                </c:pt>
                <c:pt idx="5">
                  <c:v>Rentas cobradas por anticipado</c:v>
                </c:pt>
                <c:pt idx="6">
                  <c:v>Intereses pagados por anticipado</c:v>
                </c:pt>
              </c:strCache>
            </c:strRef>
          </c:cat>
          <c:val>
            <c:numRef>
              <c:f>(Balance!$J$7:$J$9,Balance!$J$12:$J$13,Balance!$J$16:$J$17)</c:f>
              <c:numCache>
                <c:formatCode>0.00%</c:formatCode>
                <c:ptCount val="7"/>
                <c:pt idx="0">
                  <c:v>9.3269473153516511E-2</c:v>
                </c:pt>
                <c:pt idx="1">
                  <c:v>9.0748676581799845E-2</c:v>
                </c:pt>
                <c:pt idx="2">
                  <c:v>4.0332745147466598E-2</c:v>
                </c:pt>
                <c:pt idx="3">
                  <c:v>0.12603982858583312</c:v>
                </c:pt>
                <c:pt idx="4">
                  <c:v>7.814469372321653E-2</c:v>
                </c:pt>
                <c:pt idx="5">
                  <c:v>1.7645576002016636E-2</c:v>
                </c:pt>
                <c:pt idx="6">
                  <c:v>5.0415931434333247E-3</c:v>
                </c:pt>
              </c:numCache>
            </c:numRef>
          </c:val>
          <c:extLst>
            <c:ext xmlns:c16="http://schemas.microsoft.com/office/drawing/2014/chart" uri="{C3380CC4-5D6E-409C-BE32-E72D297353CC}">
              <c16:uniqueId val="{0000000E-F4BE-4201-975C-44D7014EBD20}"/>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Integración del Capital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973-4470-B9BE-28732D5E864A}"/>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973-4470-B9BE-28732D5E864A}"/>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973-4470-B9BE-28732D5E864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Balance!$G$22:$G$24</c:f>
              <c:strCache>
                <c:ptCount val="3"/>
                <c:pt idx="0">
                  <c:v>Capital Social Contable</c:v>
                </c:pt>
                <c:pt idx="1">
                  <c:v>Utilidad/Pérdida de ejercicios anteriores</c:v>
                </c:pt>
                <c:pt idx="2">
                  <c:v>Utilidad/Pérdida neta del ejercicio</c:v>
                </c:pt>
              </c:strCache>
            </c:strRef>
          </c:cat>
          <c:val>
            <c:numRef>
              <c:f>Balance!$J$22:$J$24</c:f>
              <c:numCache>
                <c:formatCode>0.00%</c:formatCode>
                <c:ptCount val="3"/>
                <c:pt idx="0">
                  <c:v>0.42853541719183263</c:v>
                </c:pt>
                <c:pt idx="1">
                  <c:v>7.4262667002772884E-2</c:v>
                </c:pt>
                <c:pt idx="2">
                  <c:v>4.5979329468111924E-2</c:v>
                </c:pt>
              </c:numCache>
            </c:numRef>
          </c:val>
          <c:extLst>
            <c:ext xmlns:c16="http://schemas.microsoft.com/office/drawing/2014/chart" uri="{C3380CC4-5D6E-409C-BE32-E72D297353CC}">
              <c16:uniqueId val="{00000006-8973-4470-B9BE-28732D5E864A}"/>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714</Words>
  <Characters>3928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3</cp:revision>
  <dcterms:created xsi:type="dcterms:W3CDTF">2017-10-16T00:37:00Z</dcterms:created>
  <dcterms:modified xsi:type="dcterms:W3CDTF">2017-10-18T04:11:00Z</dcterms:modified>
</cp:coreProperties>
</file>