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4F" w:rsidRDefault="0047204F" w:rsidP="0047204F">
      <w:pPr>
        <w:pStyle w:val="Sinespaciado"/>
        <w:jc w:val="center"/>
        <w:rPr>
          <w:rFonts w:ascii="Arial" w:hAnsi="Arial" w:cs="Arial"/>
          <w:b/>
          <w:sz w:val="20"/>
          <w:szCs w:val="16"/>
        </w:rPr>
      </w:pPr>
      <w:r w:rsidRPr="00134A8B">
        <w:rPr>
          <w:rFonts w:ascii="Arial" w:hAnsi="Arial" w:cs="Arial"/>
          <w:b/>
          <w:sz w:val="20"/>
          <w:szCs w:val="16"/>
        </w:rPr>
        <w:t>Práctica 3. Análisis vertical</w:t>
      </w:r>
    </w:p>
    <w:p w:rsidR="004E285F" w:rsidRPr="00094865" w:rsidRDefault="004E285F" w:rsidP="0047204F">
      <w:pPr>
        <w:pStyle w:val="Sinespaciado"/>
        <w:jc w:val="center"/>
        <w:rPr>
          <w:rFonts w:ascii="Arial" w:hAnsi="Arial" w:cs="Arial"/>
          <w:sz w:val="16"/>
          <w:szCs w:val="16"/>
        </w:rPr>
      </w:pPr>
      <w:r w:rsidRPr="00094865">
        <w:rPr>
          <w:rFonts w:ascii="Arial" w:hAnsi="Arial" w:cs="Arial"/>
          <w:sz w:val="16"/>
          <w:szCs w:val="16"/>
        </w:rPr>
        <w:t xml:space="preserve">Material de Poli libro administración financiera con adecuaciones </w:t>
      </w:r>
    </w:p>
    <w:p w:rsidR="0047204F" w:rsidRPr="00D2348E" w:rsidRDefault="0047204F" w:rsidP="0047204F">
      <w:pPr>
        <w:pStyle w:val="Sinespaciado"/>
        <w:jc w:val="both"/>
        <w:rPr>
          <w:rFonts w:ascii="Arial" w:hAnsi="Arial" w:cs="Arial"/>
          <w:b/>
          <w:sz w:val="16"/>
          <w:szCs w:val="16"/>
          <w:lang w:val="es-MX"/>
        </w:rPr>
      </w:pPr>
    </w:p>
    <w:p w:rsidR="0047204F" w:rsidRPr="00134A8B" w:rsidRDefault="0047204F" w:rsidP="0047204F">
      <w:pPr>
        <w:pStyle w:val="Sinespaciado"/>
        <w:jc w:val="both"/>
        <w:rPr>
          <w:rFonts w:ascii="Arial" w:hAnsi="Arial" w:cs="Arial"/>
          <w:sz w:val="16"/>
          <w:szCs w:val="16"/>
          <w:lang w:val="es-MX"/>
        </w:rPr>
      </w:pPr>
      <w:r w:rsidRPr="00134A8B">
        <w:rPr>
          <w:rFonts w:ascii="Arial" w:hAnsi="Arial" w:cs="Arial"/>
          <w:b/>
          <w:sz w:val="16"/>
          <w:szCs w:val="16"/>
          <w:lang w:val="es-MX"/>
        </w:rPr>
        <w:t>Propósito</w:t>
      </w:r>
      <w:r w:rsidRPr="00134A8B">
        <w:rPr>
          <w:rFonts w:ascii="Arial" w:hAnsi="Arial" w:cs="Arial"/>
          <w:sz w:val="16"/>
          <w:szCs w:val="16"/>
          <w:lang w:val="es-MX"/>
        </w:rPr>
        <w:t>: Interpretar la situación financiera de una empresa hipotética, a partir de los métodos verticales de análisis financiero.</w:t>
      </w:r>
    </w:p>
    <w:p w:rsidR="0047204F" w:rsidRPr="001307B8" w:rsidRDefault="0047204F" w:rsidP="0047204F">
      <w:pPr>
        <w:pStyle w:val="Sinespaciado"/>
        <w:jc w:val="both"/>
        <w:rPr>
          <w:rFonts w:ascii="Arial" w:hAnsi="Arial" w:cs="Arial"/>
          <w:b/>
          <w:sz w:val="10"/>
          <w:szCs w:val="16"/>
          <w:lang w:val="es-MX"/>
        </w:rPr>
      </w:pPr>
    </w:p>
    <w:p w:rsidR="0047204F" w:rsidRPr="00134A8B" w:rsidRDefault="0047204F" w:rsidP="0047204F">
      <w:pPr>
        <w:pStyle w:val="Sinespaciado"/>
        <w:jc w:val="both"/>
        <w:rPr>
          <w:rFonts w:ascii="Arial" w:hAnsi="Arial" w:cs="Arial"/>
          <w:sz w:val="16"/>
          <w:szCs w:val="16"/>
          <w:lang w:val="es-MX"/>
        </w:rPr>
      </w:pPr>
      <w:r w:rsidRPr="00134A8B">
        <w:rPr>
          <w:rFonts w:ascii="Arial" w:hAnsi="Arial" w:cs="Arial"/>
          <w:b/>
          <w:sz w:val="16"/>
          <w:szCs w:val="16"/>
          <w:lang w:val="es-MX"/>
        </w:rPr>
        <w:t>Instrucciones</w:t>
      </w:r>
      <w:r w:rsidRPr="00134A8B">
        <w:rPr>
          <w:rFonts w:ascii="Arial" w:hAnsi="Arial" w:cs="Arial"/>
          <w:sz w:val="16"/>
          <w:szCs w:val="16"/>
          <w:lang w:val="es-MX"/>
        </w:rPr>
        <w:t xml:space="preserve">:    </w:t>
      </w:r>
    </w:p>
    <w:p w:rsidR="0047204F" w:rsidRDefault="0047204F" w:rsidP="0047204F">
      <w:pPr>
        <w:pStyle w:val="Sinespaciado"/>
        <w:numPr>
          <w:ilvl w:val="0"/>
          <w:numId w:val="27"/>
        </w:numPr>
        <w:jc w:val="both"/>
        <w:rPr>
          <w:rFonts w:ascii="Arial" w:hAnsi="Arial" w:cs="Arial"/>
          <w:sz w:val="16"/>
          <w:szCs w:val="16"/>
          <w:lang w:val="es-MX"/>
        </w:rPr>
      </w:pPr>
      <w:r w:rsidRPr="00134A8B">
        <w:rPr>
          <w:rFonts w:ascii="Arial" w:hAnsi="Arial" w:cs="Arial"/>
          <w:sz w:val="16"/>
          <w:szCs w:val="16"/>
          <w:lang w:val="es-MX"/>
        </w:rPr>
        <w:t>Tomando en cuenta los Estados Financieros (Estado de Resultados y Balance General), que se te proporcionan realiza análisis vertical por los métodos:</w:t>
      </w:r>
    </w:p>
    <w:p w:rsidR="0047204F" w:rsidRDefault="0047204F" w:rsidP="0047204F">
      <w:pPr>
        <w:pStyle w:val="Sinespaciado"/>
        <w:numPr>
          <w:ilvl w:val="1"/>
          <w:numId w:val="27"/>
        </w:numPr>
        <w:jc w:val="both"/>
        <w:rPr>
          <w:rFonts w:ascii="Arial" w:hAnsi="Arial" w:cs="Arial"/>
          <w:sz w:val="16"/>
          <w:szCs w:val="16"/>
          <w:lang w:val="es-MX"/>
        </w:rPr>
      </w:pPr>
      <w:r w:rsidRPr="00134A8B">
        <w:rPr>
          <w:rFonts w:ascii="Arial" w:hAnsi="Arial" w:cs="Arial"/>
          <w:sz w:val="16"/>
          <w:szCs w:val="16"/>
          <w:lang w:val="es-MX"/>
        </w:rPr>
        <w:t>R</w:t>
      </w:r>
      <w:r w:rsidR="00E70E81">
        <w:rPr>
          <w:rFonts w:ascii="Arial" w:hAnsi="Arial" w:cs="Arial"/>
          <w:sz w:val="16"/>
          <w:szCs w:val="16"/>
          <w:lang w:val="es-MX"/>
        </w:rPr>
        <w:t xml:space="preserve">educción a porcientos y elabora el gráfico  de </w:t>
      </w:r>
      <w:proofErr w:type="spellStart"/>
      <w:r w:rsidR="00E70E81">
        <w:rPr>
          <w:rFonts w:ascii="Arial" w:hAnsi="Arial" w:cs="Arial"/>
          <w:sz w:val="16"/>
          <w:szCs w:val="16"/>
          <w:lang w:val="es-MX"/>
        </w:rPr>
        <w:t>pay</w:t>
      </w:r>
      <w:proofErr w:type="spellEnd"/>
      <w:r w:rsidR="00E70E81">
        <w:rPr>
          <w:rFonts w:ascii="Arial" w:hAnsi="Arial" w:cs="Arial"/>
          <w:sz w:val="16"/>
          <w:szCs w:val="16"/>
          <w:lang w:val="es-MX"/>
        </w:rPr>
        <w:t xml:space="preserve"> pertinente. </w:t>
      </w:r>
    </w:p>
    <w:p w:rsidR="0047204F" w:rsidRDefault="0047204F" w:rsidP="0047204F">
      <w:pPr>
        <w:pStyle w:val="Sinespaciado"/>
        <w:numPr>
          <w:ilvl w:val="1"/>
          <w:numId w:val="27"/>
        </w:numPr>
        <w:jc w:val="both"/>
        <w:rPr>
          <w:rFonts w:ascii="Arial" w:hAnsi="Arial" w:cs="Arial"/>
          <w:sz w:val="16"/>
          <w:szCs w:val="16"/>
          <w:lang w:val="es-MX"/>
        </w:rPr>
      </w:pPr>
      <w:r w:rsidRPr="00134A8B">
        <w:rPr>
          <w:rFonts w:ascii="Arial" w:hAnsi="Arial" w:cs="Arial"/>
          <w:sz w:val="16"/>
          <w:szCs w:val="16"/>
          <w:lang w:val="es-MX"/>
        </w:rPr>
        <w:t>Razones simples</w:t>
      </w:r>
      <w:r>
        <w:rPr>
          <w:rFonts w:ascii="Arial" w:hAnsi="Arial" w:cs="Arial"/>
          <w:sz w:val="16"/>
          <w:szCs w:val="16"/>
          <w:lang w:val="es-MX"/>
        </w:rPr>
        <w:t>.</w:t>
      </w:r>
    </w:p>
    <w:p w:rsidR="0047204F" w:rsidRPr="00134A8B" w:rsidRDefault="0047204F" w:rsidP="0047204F">
      <w:pPr>
        <w:pStyle w:val="Sinespaciado"/>
        <w:numPr>
          <w:ilvl w:val="1"/>
          <w:numId w:val="27"/>
        </w:numPr>
        <w:jc w:val="both"/>
        <w:rPr>
          <w:rFonts w:ascii="Arial" w:hAnsi="Arial" w:cs="Arial"/>
          <w:sz w:val="16"/>
          <w:szCs w:val="16"/>
          <w:lang w:val="es-MX"/>
        </w:rPr>
      </w:pPr>
      <w:r w:rsidRPr="00134A8B">
        <w:rPr>
          <w:rFonts w:ascii="Arial" w:hAnsi="Arial" w:cs="Arial"/>
          <w:sz w:val="16"/>
          <w:szCs w:val="16"/>
          <w:lang w:val="es-MX"/>
        </w:rPr>
        <w:t>Razones estándar</w:t>
      </w:r>
      <w:r>
        <w:rPr>
          <w:rFonts w:ascii="Arial" w:hAnsi="Arial" w:cs="Arial"/>
          <w:sz w:val="16"/>
          <w:szCs w:val="16"/>
          <w:lang w:val="es-MX"/>
        </w:rPr>
        <w:t>.</w:t>
      </w:r>
    </w:p>
    <w:p w:rsidR="0047204F" w:rsidRPr="001307B8" w:rsidRDefault="0047204F" w:rsidP="0047204F">
      <w:pPr>
        <w:pStyle w:val="Sinespaciado"/>
        <w:jc w:val="both"/>
        <w:rPr>
          <w:rFonts w:ascii="Arial" w:hAnsi="Arial" w:cs="Arial"/>
          <w:sz w:val="10"/>
          <w:szCs w:val="16"/>
          <w:lang w:val="es-MX"/>
        </w:rPr>
      </w:pPr>
    </w:p>
    <w:p w:rsidR="0047204F" w:rsidRDefault="0047204F" w:rsidP="0047204F">
      <w:pPr>
        <w:pStyle w:val="Sinespaciado"/>
        <w:jc w:val="both"/>
        <w:rPr>
          <w:rFonts w:ascii="Arial" w:hAnsi="Arial" w:cs="Arial"/>
          <w:sz w:val="16"/>
          <w:szCs w:val="16"/>
          <w:lang w:val="es-MX"/>
        </w:rPr>
      </w:pPr>
      <w:r w:rsidRPr="00134A8B">
        <w:rPr>
          <w:rFonts w:ascii="Arial" w:hAnsi="Arial" w:cs="Arial"/>
          <w:sz w:val="16"/>
          <w:szCs w:val="16"/>
          <w:lang w:val="es-MX"/>
        </w:rPr>
        <w:t>Para realizar el análisis por razones simples y razones estándar, se te proporciona el siguiente formato:</w:t>
      </w:r>
    </w:p>
    <w:p w:rsidR="0047204F" w:rsidRPr="001307B8" w:rsidRDefault="0047204F" w:rsidP="0047204F">
      <w:pPr>
        <w:pStyle w:val="Sinespaciado"/>
        <w:jc w:val="both"/>
        <w:rPr>
          <w:rFonts w:ascii="Arial" w:hAnsi="Arial" w:cs="Arial"/>
          <w:sz w:val="10"/>
          <w:szCs w:val="16"/>
          <w:lang w:val="es-MX"/>
        </w:rPr>
      </w:pP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999"/>
        <w:gridCol w:w="850"/>
        <w:gridCol w:w="1162"/>
        <w:gridCol w:w="823"/>
        <w:gridCol w:w="1276"/>
      </w:tblGrid>
      <w:tr w:rsidR="0047204F" w:rsidRPr="001307B8" w:rsidTr="00517EAD">
        <w:tc>
          <w:tcPr>
            <w:tcW w:w="308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1307B8">
              <w:rPr>
                <w:rFonts w:ascii="Arial" w:hAnsi="Arial" w:cs="Arial"/>
                <w:b/>
                <w:sz w:val="12"/>
                <w:szCs w:val="12"/>
              </w:rPr>
              <w:t>Razones Financieras (Fórmulas)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1307B8">
              <w:rPr>
                <w:rFonts w:ascii="Arial" w:hAnsi="Arial" w:cs="Arial"/>
                <w:b/>
                <w:sz w:val="12"/>
                <w:szCs w:val="12"/>
              </w:rPr>
              <w:t>Resultado</w:t>
            </w:r>
          </w:p>
        </w:tc>
        <w:tc>
          <w:tcPr>
            <w:tcW w:w="1162" w:type="dxa"/>
            <w:vMerge w:val="restart"/>
            <w:tcBorders>
              <w:top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1307B8">
              <w:rPr>
                <w:rFonts w:ascii="Arial" w:hAnsi="Arial" w:cs="Arial"/>
                <w:b/>
                <w:sz w:val="12"/>
                <w:szCs w:val="12"/>
              </w:rPr>
              <w:t>Interpretación</w:t>
            </w:r>
          </w:p>
        </w:tc>
        <w:tc>
          <w:tcPr>
            <w:tcW w:w="823" w:type="dxa"/>
            <w:vMerge w:val="restart"/>
            <w:tcBorders>
              <w:top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1307B8">
              <w:rPr>
                <w:rFonts w:ascii="Arial" w:hAnsi="Arial" w:cs="Arial"/>
                <w:b/>
                <w:sz w:val="12"/>
                <w:szCs w:val="12"/>
              </w:rPr>
              <w:t>Razón Estándar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1307B8">
              <w:rPr>
                <w:rFonts w:ascii="Arial" w:hAnsi="Arial" w:cs="Arial"/>
                <w:b/>
                <w:sz w:val="12"/>
                <w:szCs w:val="12"/>
              </w:rPr>
              <w:t>Desviaciones (+,-)</w:t>
            </w:r>
          </w:p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1307B8">
              <w:rPr>
                <w:rFonts w:ascii="Arial" w:hAnsi="Arial" w:cs="Arial"/>
                <w:b/>
                <w:sz w:val="12"/>
                <w:szCs w:val="12"/>
              </w:rPr>
              <w:t>Benchmarking</w:t>
            </w:r>
          </w:p>
        </w:tc>
      </w:tr>
      <w:tr w:rsidR="0047204F" w:rsidRPr="001307B8" w:rsidTr="00517EAD">
        <w:tc>
          <w:tcPr>
            <w:tcW w:w="208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2"/>
                <w:szCs w:val="12"/>
              </w:rPr>
            </w:pPr>
            <w:r w:rsidRPr="001307B8">
              <w:rPr>
                <w:rFonts w:ascii="Arial" w:hAnsi="Arial" w:cs="Arial"/>
                <w:b/>
                <w:i/>
                <w:sz w:val="12"/>
                <w:szCs w:val="12"/>
              </w:rPr>
              <w:t>Nombre</w:t>
            </w:r>
          </w:p>
        </w:tc>
        <w:tc>
          <w:tcPr>
            <w:tcW w:w="999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2"/>
                <w:szCs w:val="12"/>
              </w:rPr>
            </w:pPr>
            <w:r w:rsidRPr="001307B8">
              <w:rPr>
                <w:rFonts w:ascii="Arial" w:hAnsi="Arial" w:cs="Arial"/>
                <w:b/>
                <w:i/>
                <w:sz w:val="12"/>
                <w:szCs w:val="12"/>
              </w:rPr>
              <w:t>Fórmula</w:t>
            </w:r>
          </w:p>
        </w:tc>
        <w:tc>
          <w:tcPr>
            <w:tcW w:w="850" w:type="dxa"/>
            <w:vMerge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62" w:type="dxa"/>
            <w:vMerge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vMerge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3085" w:type="dxa"/>
            <w:gridSpan w:val="2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b/>
                <w:sz w:val="12"/>
                <w:szCs w:val="12"/>
              </w:rPr>
              <w:t>INDICES DE RENTABILIDAD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lef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Margen de utilidad</w:t>
            </w:r>
          </w:p>
        </w:tc>
        <w:tc>
          <w:tcPr>
            <w:tcW w:w="999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lef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Retorno sobre activos</w:t>
            </w:r>
          </w:p>
        </w:tc>
        <w:tc>
          <w:tcPr>
            <w:tcW w:w="999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Retorno sobre patrimonio</w:t>
            </w:r>
          </w:p>
        </w:tc>
        <w:tc>
          <w:tcPr>
            <w:tcW w:w="999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3085" w:type="dxa"/>
            <w:gridSpan w:val="2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b/>
                <w:sz w:val="12"/>
                <w:szCs w:val="12"/>
              </w:rPr>
              <w:t>ÍNDICES DE LIQUIDEZ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lef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Razón circulante</w:t>
            </w:r>
          </w:p>
        </w:tc>
        <w:tc>
          <w:tcPr>
            <w:tcW w:w="999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lef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Prueba ácida</w:t>
            </w:r>
          </w:p>
        </w:tc>
        <w:tc>
          <w:tcPr>
            <w:tcW w:w="999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Capital de trabajo</w:t>
            </w:r>
          </w:p>
        </w:tc>
        <w:tc>
          <w:tcPr>
            <w:tcW w:w="999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3085" w:type="dxa"/>
            <w:gridSpan w:val="2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b/>
                <w:sz w:val="12"/>
                <w:szCs w:val="12"/>
              </w:rPr>
              <w:t>ÍNDICES DE ESTRUCTURA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lef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Solvencia</w:t>
            </w:r>
          </w:p>
        </w:tc>
        <w:tc>
          <w:tcPr>
            <w:tcW w:w="999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lef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Seguridad a largo plazo</w:t>
            </w:r>
          </w:p>
        </w:tc>
        <w:tc>
          <w:tcPr>
            <w:tcW w:w="999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lef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Inmovilización de capital social</w:t>
            </w:r>
          </w:p>
        </w:tc>
        <w:tc>
          <w:tcPr>
            <w:tcW w:w="999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Inmovilización de capital contable</w:t>
            </w:r>
          </w:p>
        </w:tc>
        <w:tc>
          <w:tcPr>
            <w:tcW w:w="999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3085" w:type="dxa"/>
            <w:gridSpan w:val="2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b/>
                <w:sz w:val="12"/>
                <w:szCs w:val="12"/>
              </w:rPr>
              <w:t>ÍNDICES DE ENDEUDAMIENTO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lef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Apalancamiento</w:t>
            </w:r>
          </w:p>
        </w:tc>
        <w:tc>
          <w:tcPr>
            <w:tcW w:w="999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lef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Razón de Cobertura de Intereses</w:t>
            </w:r>
          </w:p>
        </w:tc>
        <w:tc>
          <w:tcPr>
            <w:tcW w:w="999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lef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Cobertura de los cargos fijos</w:t>
            </w:r>
          </w:p>
        </w:tc>
        <w:tc>
          <w:tcPr>
            <w:tcW w:w="999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Razón de estabilidad financiera</w:t>
            </w:r>
          </w:p>
        </w:tc>
        <w:tc>
          <w:tcPr>
            <w:tcW w:w="999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tcBorders>
              <w:bottom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3085" w:type="dxa"/>
            <w:gridSpan w:val="2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1307B8">
              <w:rPr>
                <w:rFonts w:ascii="Arial" w:hAnsi="Arial" w:cs="Arial"/>
                <w:b/>
                <w:sz w:val="12"/>
                <w:szCs w:val="12"/>
              </w:rPr>
              <w:t>ÍNDICES DE ROTACIÓN Y ADMINISTRACIÓN DE ACTIVOS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Rotación de cuentas por cobrar</w:t>
            </w:r>
          </w:p>
        </w:tc>
        <w:tc>
          <w:tcPr>
            <w:tcW w:w="9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Periodo promedio de recaudo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Rotación de inventarios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Rotación de los activos fijos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1307B8" w:rsidTr="00517EAD">
        <w:tc>
          <w:tcPr>
            <w:tcW w:w="208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307B8">
              <w:rPr>
                <w:rFonts w:ascii="Arial" w:hAnsi="Arial" w:cs="Arial"/>
                <w:sz w:val="12"/>
                <w:szCs w:val="12"/>
              </w:rPr>
              <w:t>Rotación de los activos totales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204F" w:rsidRPr="001307B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47204F" w:rsidRPr="001307B8" w:rsidRDefault="0047204F" w:rsidP="0047204F">
      <w:pPr>
        <w:pStyle w:val="Sinespaciado"/>
        <w:jc w:val="both"/>
        <w:rPr>
          <w:rFonts w:ascii="Arial" w:hAnsi="Arial" w:cs="Arial"/>
          <w:sz w:val="10"/>
          <w:szCs w:val="16"/>
          <w:lang w:val="es-MX"/>
        </w:rPr>
      </w:pPr>
    </w:p>
    <w:p w:rsidR="0047204F" w:rsidRDefault="0047204F" w:rsidP="0047204F">
      <w:pPr>
        <w:pStyle w:val="Sinespaciado"/>
        <w:numPr>
          <w:ilvl w:val="0"/>
          <w:numId w:val="27"/>
        </w:numPr>
        <w:rPr>
          <w:rFonts w:ascii="Arial" w:hAnsi="Arial" w:cs="Arial"/>
          <w:sz w:val="16"/>
          <w:szCs w:val="16"/>
          <w:lang w:val="es-MX"/>
        </w:rPr>
      </w:pPr>
      <w:r w:rsidRPr="001307B8">
        <w:rPr>
          <w:rFonts w:ascii="Arial" w:hAnsi="Arial" w:cs="Arial"/>
          <w:sz w:val="16"/>
          <w:szCs w:val="16"/>
          <w:lang w:val="es-MX"/>
        </w:rPr>
        <w:t xml:space="preserve">Tomando en cuenta la información anterior, </w:t>
      </w:r>
      <w:r w:rsidR="00E70E81">
        <w:rPr>
          <w:rFonts w:ascii="Arial" w:hAnsi="Arial" w:cs="Arial"/>
          <w:sz w:val="16"/>
          <w:szCs w:val="16"/>
          <w:lang w:val="es-MX"/>
        </w:rPr>
        <w:t xml:space="preserve">argumenta (en por lo menos una </w:t>
      </w:r>
      <w:r w:rsidRPr="001307B8">
        <w:rPr>
          <w:rFonts w:ascii="Arial" w:hAnsi="Arial" w:cs="Arial"/>
          <w:sz w:val="16"/>
          <w:szCs w:val="16"/>
          <w:lang w:val="es-MX"/>
        </w:rPr>
        <w:t xml:space="preserve"> cuartilla) acerca de la situación financiera de la empresa </w:t>
      </w:r>
    </w:p>
    <w:p w:rsidR="00E70E81" w:rsidRPr="001307B8" w:rsidRDefault="00E70E81" w:rsidP="0047204F">
      <w:pPr>
        <w:pStyle w:val="Sinespaciado"/>
        <w:numPr>
          <w:ilvl w:val="0"/>
          <w:numId w:val="27"/>
        </w:numPr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Elabora por lo menos un párrafo de  posibles recomendaciones </w:t>
      </w:r>
      <w:r w:rsidR="000627BD">
        <w:rPr>
          <w:rFonts w:ascii="Arial" w:hAnsi="Arial" w:cs="Arial"/>
          <w:sz w:val="16"/>
          <w:szCs w:val="16"/>
          <w:lang w:val="es-MX"/>
        </w:rPr>
        <w:t xml:space="preserve">derivado del análisis. </w:t>
      </w:r>
    </w:p>
    <w:p w:rsidR="0047204F" w:rsidRPr="001307B8" w:rsidRDefault="00E70E81" w:rsidP="0047204F">
      <w:pPr>
        <w:pStyle w:val="Sinespaciado"/>
        <w:numPr>
          <w:ilvl w:val="0"/>
          <w:numId w:val="27"/>
        </w:numPr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Imprime tu archivo para revisión. </w:t>
      </w:r>
    </w:p>
    <w:p w:rsidR="0047204F" w:rsidRDefault="0047204F" w:rsidP="00E70E81">
      <w:pPr>
        <w:pStyle w:val="Sinespaciado"/>
        <w:ind w:left="360"/>
        <w:rPr>
          <w:rFonts w:ascii="Arial" w:hAnsi="Arial" w:cs="Arial"/>
          <w:sz w:val="16"/>
          <w:szCs w:val="16"/>
        </w:rPr>
      </w:pPr>
    </w:p>
    <w:p w:rsidR="0047204F" w:rsidRPr="001307B8" w:rsidRDefault="0047204F" w:rsidP="0047204F">
      <w:pPr>
        <w:pStyle w:val="Sinespaciado"/>
        <w:rPr>
          <w:rFonts w:ascii="Arial" w:hAnsi="Arial" w:cs="Arial"/>
          <w:sz w:val="10"/>
          <w:szCs w:val="16"/>
        </w:rPr>
      </w:pPr>
    </w:p>
    <w:p w:rsidR="0047204F" w:rsidRPr="008734C7" w:rsidRDefault="0047204F" w:rsidP="0047204F">
      <w:pPr>
        <w:pStyle w:val="Sinespaciado"/>
        <w:rPr>
          <w:rFonts w:ascii="Arial" w:hAnsi="Arial" w:cs="Arial"/>
          <w:b/>
          <w:sz w:val="16"/>
          <w:szCs w:val="16"/>
        </w:rPr>
        <w:sectPr w:rsidR="0047204F" w:rsidRPr="008734C7" w:rsidSect="00D00156">
          <w:headerReference w:type="default" r:id="rId8"/>
          <w:footerReference w:type="default" r:id="rId9"/>
          <w:headerReference w:type="first" r:id="rId10"/>
          <w:footerReference w:type="first" r:id="rId11"/>
          <w:pgSz w:w="8392" w:h="11907" w:code="11"/>
          <w:pgMar w:top="1235" w:right="680" w:bottom="624" w:left="680" w:header="624" w:footer="624" w:gutter="0"/>
          <w:cols w:space="708"/>
          <w:docGrid w:linePitch="360"/>
        </w:sectPr>
      </w:pPr>
      <w:bookmarkStart w:id="0" w:name="_GoBack"/>
      <w:bookmarkEnd w:id="0"/>
    </w:p>
    <w:p w:rsidR="0047204F" w:rsidRDefault="0047204F" w:rsidP="0047204F">
      <w:pPr>
        <w:pStyle w:val="Sinespaciado"/>
        <w:jc w:val="both"/>
        <w:rPr>
          <w:rFonts w:ascii="Arial" w:hAnsi="Arial" w:cs="Arial"/>
          <w:sz w:val="20"/>
          <w:szCs w:val="16"/>
        </w:rPr>
      </w:pPr>
    </w:p>
    <w:p w:rsidR="00A070F1" w:rsidRDefault="00A070F1" w:rsidP="0047204F">
      <w:pPr>
        <w:pStyle w:val="Sinespaciado"/>
        <w:jc w:val="both"/>
        <w:rPr>
          <w:rFonts w:ascii="Arial" w:hAnsi="Arial" w:cs="Arial"/>
          <w:sz w:val="20"/>
          <w:szCs w:val="16"/>
        </w:rPr>
      </w:pPr>
    </w:p>
    <w:p w:rsidR="00A070F1" w:rsidRPr="00A070F1" w:rsidRDefault="00A070F1" w:rsidP="0047204F">
      <w:pPr>
        <w:pStyle w:val="Sinespaciado"/>
        <w:jc w:val="both"/>
        <w:rPr>
          <w:rFonts w:ascii="Arial" w:hAnsi="Arial" w:cs="Arial"/>
          <w:sz w:val="20"/>
          <w:szCs w:val="16"/>
        </w:rPr>
      </w:pPr>
    </w:p>
    <w:tbl>
      <w:tblPr>
        <w:tblW w:w="104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3"/>
        <w:gridCol w:w="1960"/>
        <w:gridCol w:w="1276"/>
        <w:gridCol w:w="3001"/>
        <w:gridCol w:w="859"/>
        <w:gridCol w:w="1050"/>
      </w:tblGrid>
      <w:tr w:rsidR="0047204F" w:rsidRPr="00D92C28" w:rsidTr="00517EAD">
        <w:trPr>
          <w:jc w:val="center"/>
        </w:trPr>
        <w:tc>
          <w:tcPr>
            <w:tcW w:w="4313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92C28">
              <w:rPr>
                <w:rFonts w:ascii="Arial" w:hAnsi="Arial" w:cs="Arial"/>
                <w:b/>
                <w:sz w:val="12"/>
                <w:szCs w:val="12"/>
              </w:rPr>
              <w:t>Razones Financieras (Fórmulas)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92C28">
              <w:rPr>
                <w:rFonts w:ascii="Arial" w:hAnsi="Arial" w:cs="Arial"/>
                <w:b/>
                <w:sz w:val="12"/>
                <w:szCs w:val="12"/>
              </w:rPr>
              <w:t>Resultado</w:t>
            </w:r>
          </w:p>
        </w:tc>
        <w:tc>
          <w:tcPr>
            <w:tcW w:w="3001" w:type="dxa"/>
            <w:vMerge w:val="restart"/>
            <w:tcBorders>
              <w:top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92C28">
              <w:rPr>
                <w:rFonts w:ascii="Arial" w:hAnsi="Arial" w:cs="Arial"/>
                <w:b/>
                <w:sz w:val="12"/>
                <w:szCs w:val="12"/>
              </w:rPr>
              <w:t>Interpretación</w:t>
            </w:r>
          </w:p>
        </w:tc>
        <w:tc>
          <w:tcPr>
            <w:tcW w:w="859" w:type="dxa"/>
            <w:vMerge w:val="restart"/>
            <w:tcBorders>
              <w:top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92C28">
              <w:rPr>
                <w:rFonts w:ascii="Arial" w:hAnsi="Arial" w:cs="Arial"/>
                <w:b/>
                <w:sz w:val="12"/>
                <w:szCs w:val="12"/>
              </w:rPr>
              <w:t>Razón Estándar</w:t>
            </w:r>
          </w:p>
        </w:tc>
        <w:tc>
          <w:tcPr>
            <w:tcW w:w="105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92C28">
              <w:rPr>
                <w:rFonts w:ascii="Arial" w:hAnsi="Arial" w:cs="Arial"/>
                <w:b/>
                <w:sz w:val="12"/>
                <w:szCs w:val="12"/>
              </w:rPr>
              <w:t>Desviaciones (+,-)</w:t>
            </w:r>
          </w:p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92C28">
              <w:rPr>
                <w:rFonts w:ascii="Arial" w:hAnsi="Arial" w:cs="Arial"/>
                <w:b/>
                <w:sz w:val="12"/>
                <w:szCs w:val="12"/>
              </w:rPr>
              <w:t>Benchmarking</w:t>
            </w:r>
          </w:p>
        </w:tc>
      </w:tr>
      <w:tr w:rsidR="0047204F" w:rsidRPr="00D92C28" w:rsidTr="00A070F1">
        <w:trPr>
          <w:jc w:val="center"/>
        </w:trPr>
        <w:tc>
          <w:tcPr>
            <w:tcW w:w="235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2"/>
                <w:szCs w:val="12"/>
              </w:rPr>
            </w:pPr>
            <w:r w:rsidRPr="00D92C28">
              <w:rPr>
                <w:rFonts w:ascii="Arial" w:hAnsi="Arial" w:cs="Arial"/>
                <w:b/>
                <w:i/>
                <w:sz w:val="12"/>
                <w:szCs w:val="12"/>
              </w:rPr>
              <w:t>Nombre</w:t>
            </w:r>
          </w:p>
        </w:tc>
        <w:tc>
          <w:tcPr>
            <w:tcW w:w="1960" w:type="dxa"/>
            <w:tcBorders>
              <w:bottom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2"/>
                <w:szCs w:val="12"/>
              </w:rPr>
            </w:pPr>
            <w:r w:rsidRPr="00D92C28">
              <w:rPr>
                <w:rFonts w:ascii="Arial" w:hAnsi="Arial" w:cs="Arial"/>
                <w:b/>
                <w:i/>
                <w:sz w:val="12"/>
                <w:szCs w:val="12"/>
              </w:rPr>
              <w:t>Fórmula</w:t>
            </w:r>
          </w:p>
        </w:tc>
        <w:tc>
          <w:tcPr>
            <w:tcW w:w="1276" w:type="dxa"/>
            <w:vMerge/>
            <w:tcBorders>
              <w:bottom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01" w:type="dxa"/>
            <w:vMerge/>
            <w:tcBorders>
              <w:bottom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vMerge/>
            <w:tcBorders>
              <w:bottom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50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D92C28" w:rsidTr="00517EAD">
        <w:trPr>
          <w:jc w:val="center"/>
        </w:trPr>
        <w:tc>
          <w:tcPr>
            <w:tcW w:w="4313" w:type="dxa"/>
            <w:gridSpan w:val="2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b/>
                <w:sz w:val="12"/>
                <w:szCs w:val="12"/>
              </w:rPr>
              <w:t>INDICES DE RENTABILIDAD</w:t>
            </w:r>
          </w:p>
        </w:tc>
        <w:tc>
          <w:tcPr>
            <w:tcW w:w="6186" w:type="dxa"/>
            <w:gridSpan w:val="4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D92C28" w:rsidTr="00A070F1">
        <w:trPr>
          <w:jc w:val="center"/>
        </w:trPr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Margen de utilidad</w:t>
            </w:r>
          </w:p>
        </w:tc>
        <w:tc>
          <w:tcPr>
            <w:tcW w:w="1960" w:type="dxa"/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vAlign w:val="center"/>
          </w:tcPr>
          <w:p w:rsidR="0047204F" w:rsidRPr="00D92C2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vAlign w:val="center"/>
          </w:tcPr>
          <w:p w:rsidR="0047204F" w:rsidRPr="00D92C28" w:rsidRDefault="003C4ED2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12 por ciento 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D92C28" w:rsidTr="00A070F1">
        <w:trPr>
          <w:jc w:val="center"/>
        </w:trPr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Retorno sobre activos</w:t>
            </w:r>
          </w:p>
        </w:tc>
        <w:tc>
          <w:tcPr>
            <w:tcW w:w="1960" w:type="dxa"/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vAlign w:val="center"/>
          </w:tcPr>
          <w:p w:rsidR="0047204F" w:rsidRPr="00D92C2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vAlign w:val="center"/>
          </w:tcPr>
          <w:p w:rsidR="0047204F" w:rsidRPr="00D92C28" w:rsidRDefault="003C4ED2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6%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D92C28" w:rsidTr="00A070F1">
        <w:trPr>
          <w:jc w:val="center"/>
        </w:trPr>
        <w:tc>
          <w:tcPr>
            <w:tcW w:w="235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Retorno sobre patrimonio</w:t>
            </w:r>
          </w:p>
        </w:tc>
        <w:tc>
          <w:tcPr>
            <w:tcW w:w="1960" w:type="dxa"/>
            <w:tcBorders>
              <w:bottom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tcBorders>
              <w:bottom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tcBorders>
              <w:bottom w:val="single" w:sz="12" w:space="0" w:color="auto"/>
            </w:tcBorders>
            <w:vAlign w:val="center"/>
          </w:tcPr>
          <w:p w:rsidR="0047204F" w:rsidRPr="00D92C28" w:rsidRDefault="003C4ED2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10%</w:t>
            </w:r>
          </w:p>
        </w:tc>
        <w:tc>
          <w:tcPr>
            <w:tcW w:w="105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D92C28" w:rsidTr="00517EAD">
        <w:trPr>
          <w:jc w:val="center"/>
        </w:trPr>
        <w:tc>
          <w:tcPr>
            <w:tcW w:w="4313" w:type="dxa"/>
            <w:gridSpan w:val="2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b/>
                <w:sz w:val="12"/>
                <w:szCs w:val="12"/>
              </w:rPr>
              <w:t>ÍNDICES DE LIQUIDEZ</w:t>
            </w:r>
          </w:p>
        </w:tc>
        <w:tc>
          <w:tcPr>
            <w:tcW w:w="6186" w:type="dxa"/>
            <w:gridSpan w:val="4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7204F" w:rsidRPr="00D92C28" w:rsidTr="00A070F1">
        <w:trPr>
          <w:jc w:val="center"/>
        </w:trPr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Razón circulante</w:t>
            </w:r>
          </w:p>
        </w:tc>
        <w:tc>
          <w:tcPr>
            <w:tcW w:w="1960" w:type="dxa"/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vAlign w:val="center"/>
          </w:tcPr>
          <w:p w:rsidR="0047204F" w:rsidRPr="00D92C28" w:rsidRDefault="0047204F" w:rsidP="00517EAD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vAlign w:val="center"/>
          </w:tcPr>
          <w:p w:rsidR="0047204F" w:rsidRPr="00D92C28" w:rsidRDefault="00977367" w:rsidP="00517E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2 veces 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vAlign w:val="center"/>
          </w:tcPr>
          <w:p w:rsidR="0047204F" w:rsidRPr="00D92C28" w:rsidRDefault="0047204F" w:rsidP="00517EAD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A070F1">
        <w:trPr>
          <w:jc w:val="center"/>
        </w:trPr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Prueba ácida</w:t>
            </w:r>
          </w:p>
        </w:tc>
        <w:tc>
          <w:tcPr>
            <w:tcW w:w="1960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2 veces 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A070F1">
        <w:trPr>
          <w:jc w:val="center"/>
        </w:trPr>
        <w:tc>
          <w:tcPr>
            <w:tcW w:w="235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Capital de trabajo</w:t>
            </w:r>
          </w:p>
        </w:tc>
        <w:tc>
          <w:tcPr>
            <w:tcW w:w="1960" w:type="dxa"/>
            <w:tcBorders>
              <w:bottom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tcBorders>
              <w:bottom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tcBorders>
              <w:bottom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2 veces </w:t>
            </w:r>
          </w:p>
        </w:tc>
        <w:tc>
          <w:tcPr>
            <w:tcW w:w="105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517EAD">
        <w:trPr>
          <w:jc w:val="center"/>
        </w:trPr>
        <w:tc>
          <w:tcPr>
            <w:tcW w:w="4313" w:type="dxa"/>
            <w:gridSpan w:val="2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b/>
                <w:sz w:val="12"/>
                <w:szCs w:val="12"/>
              </w:rPr>
              <w:t>ÍNDICES DE ESTRUCTURA</w:t>
            </w:r>
          </w:p>
        </w:tc>
        <w:tc>
          <w:tcPr>
            <w:tcW w:w="6186" w:type="dxa"/>
            <w:gridSpan w:val="4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A070F1">
        <w:trPr>
          <w:jc w:val="center"/>
        </w:trPr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Solvencia</w:t>
            </w:r>
          </w:p>
        </w:tc>
        <w:tc>
          <w:tcPr>
            <w:tcW w:w="1960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vAlign w:val="center"/>
          </w:tcPr>
          <w:p w:rsidR="00977367" w:rsidRPr="00D92C28" w:rsidRDefault="00981FFD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3 veces 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A070F1">
        <w:trPr>
          <w:jc w:val="center"/>
        </w:trPr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Seguridad a largo plazo</w:t>
            </w:r>
          </w:p>
        </w:tc>
        <w:tc>
          <w:tcPr>
            <w:tcW w:w="1960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vAlign w:val="center"/>
          </w:tcPr>
          <w:p w:rsidR="00977367" w:rsidRPr="00D92C28" w:rsidRDefault="00981FFD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2 veces 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A070F1">
        <w:trPr>
          <w:jc w:val="center"/>
        </w:trPr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Inmovilización de capital social</w:t>
            </w:r>
          </w:p>
        </w:tc>
        <w:tc>
          <w:tcPr>
            <w:tcW w:w="1960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vAlign w:val="center"/>
          </w:tcPr>
          <w:p w:rsidR="00977367" w:rsidRPr="00D92C28" w:rsidRDefault="00981FFD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35%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A070F1">
        <w:trPr>
          <w:jc w:val="center"/>
        </w:trPr>
        <w:tc>
          <w:tcPr>
            <w:tcW w:w="235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Inmovilización de capital contable</w:t>
            </w:r>
          </w:p>
        </w:tc>
        <w:tc>
          <w:tcPr>
            <w:tcW w:w="1960" w:type="dxa"/>
            <w:tcBorders>
              <w:bottom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tcBorders>
              <w:bottom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tcBorders>
              <w:bottom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05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517EAD">
        <w:trPr>
          <w:jc w:val="center"/>
        </w:trPr>
        <w:tc>
          <w:tcPr>
            <w:tcW w:w="4313" w:type="dxa"/>
            <w:gridSpan w:val="2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b/>
                <w:sz w:val="12"/>
                <w:szCs w:val="12"/>
              </w:rPr>
              <w:t>ÍNDICES DE ENDEUDAMIENTO</w:t>
            </w:r>
          </w:p>
        </w:tc>
        <w:tc>
          <w:tcPr>
            <w:tcW w:w="6186" w:type="dxa"/>
            <w:gridSpan w:val="4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A070F1">
        <w:trPr>
          <w:jc w:val="center"/>
        </w:trPr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Apalancamiento</w:t>
            </w:r>
          </w:p>
        </w:tc>
        <w:tc>
          <w:tcPr>
            <w:tcW w:w="1960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vAlign w:val="center"/>
          </w:tcPr>
          <w:p w:rsidR="00977367" w:rsidRPr="00D92C28" w:rsidRDefault="00B56688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40%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A070F1">
        <w:trPr>
          <w:jc w:val="center"/>
        </w:trPr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Razón de Cobertura de Intereses</w:t>
            </w:r>
          </w:p>
        </w:tc>
        <w:tc>
          <w:tcPr>
            <w:tcW w:w="1960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vAlign w:val="center"/>
          </w:tcPr>
          <w:p w:rsidR="00977367" w:rsidRPr="00D92C28" w:rsidRDefault="00B56688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40 veces 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A070F1">
        <w:trPr>
          <w:jc w:val="center"/>
        </w:trPr>
        <w:tc>
          <w:tcPr>
            <w:tcW w:w="2353" w:type="dxa"/>
            <w:tcBorders>
              <w:lef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Cobertura de los cargos fijos</w:t>
            </w:r>
          </w:p>
        </w:tc>
        <w:tc>
          <w:tcPr>
            <w:tcW w:w="1960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vAlign w:val="center"/>
          </w:tcPr>
          <w:p w:rsidR="00977367" w:rsidRPr="00D92C28" w:rsidRDefault="00977367" w:rsidP="00977367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vAlign w:val="center"/>
          </w:tcPr>
          <w:p w:rsidR="00977367" w:rsidRPr="00D92C28" w:rsidRDefault="00B56688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35 veces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A070F1">
        <w:trPr>
          <w:trHeight w:val="60"/>
          <w:jc w:val="center"/>
        </w:trPr>
        <w:tc>
          <w:tcPr>
            <w:tcW w:w="235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Razón de estabilidad financiera</w:t>
            </w:r>
          </w:p>
        </w:tc>
        <w:tc>
          <w:tcPr>
            <w:tcW w:w="1960" w:type="dxa"/>
            <w:tcBorders>
              <w:bottom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tcBorders>
              <w:bottom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tcBorders>
              <w:bottom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05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77367" w:rsidRPr="00A070F1" w:rsidRDefault="00977367" w:rsidP="0097736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517EAD">
        <w:trPr>
          <w:jc w:val="center"/>
        </w:trPr>
        <w:tc>
          <w:tcPr>
            <w:tcW w:w="43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D92C28">
              <w:rPr>
                <w:rFonts w:ascii="Arial" w:hAnsi="Arial" w:cs="Arial"/>
                <w:b/>
                <w:sz w:val="12"/>
                <w:szCs w:val="12"/>
              </w:rPr>
              <w:t>ÍNDICES DE ROTACIÓN Y ADMINISTRACIÓN DE ACTIVOS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05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A070F1">
        <w:trPr>
          <w:jc w:val="center"/>
        </w:trPr>
        <w:tc>
          <w:tcPr>
            <w:tcW w:w="235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Rotación de cuentas por cobrar</w:t>
            </w:r>
          </w:p>
        </w:tc>
        <w:tc>
          <w:tcPr>
            <w:tcW w:w="1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86D76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86D76" w:rsidRDefault="00977367" w:rsidP="00977367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86D76" w:rsidRDefault="00B56688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12 veces</w:t>
            </w:r>
          </w:p>
        </w:tc>
        <w:tc>
          <w:tcPr>
            <w:tcW w:w="105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A070F1">
        <w:trPr>
          <w:jc w:val="center"/>
        </w:trPr>
        <w:tc>
          <w:tcPr>
            <w:tcW w:w="23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Periodo promedio de recaudo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86D76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86D76" w:rsidRDefault="00977367" w:rsidP="00977367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86D76" w:rsidRDefault="00D05E2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21 días 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A070F1">
        <w:trPr>
          <w:jc w:val="center"/>
        </w:trPr>
        <w:tc>
          <w:tcPr>
            <w:tcW w:w="23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Rotación de inventarios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86D76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86D76" w:rsidRDefault="00977367" w:rsidP="00977367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86D76" w:rsidRDefault="00D05E2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15 veces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A070F1">
        <w:trPr>
          <w:jc w:val="center"/>
        </w:trPr>
        <w:tc>
          <w:tcPr>
            <w:tcW w:w="23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Rotación de los activos fijos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86D76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86D76" w:rsidRDefault="00977367" w:rsidP="00977367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7367" w:rsidRPr="00D86D76" w:rsidRDefault="00D05E2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 veces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77367" w:rsidRPr="00D92C28" w:rsidTr="00A070F1">
        <w:trPr>
          <w:jc w:val="center"/>
        </w:trPr>
        <w:tc>
          <w:tcPr>
            <w:tcW w:w="23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92C28">
              <w:rPr>
                <w:rFonts w:ascii="Arial" w:hAnsi="Arial" w:cs="Arial"/>
                <w:sz w:val="12"/>
                <w:szCs w:val="12"/>
              </w:rPr>
              <w:t>Rotación de los activos totales</w:t>
            </w:r>
          </w:p>
        </w:tc>
        <w:tc>
          <w:tcPr>
            <w:tcW w:w="19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Cambria" w:hAnsi="Cambria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77367" w:rsidRPr="00D86D76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77367" w:rsidRPr="00D86D76" w:rsidRDefault="00977367" w:rsidP="00977367">
            <w:pPr>
              <w:spacing w:after="0" w:line="240" w:lineRule="aut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77367" w:rsidRPr="00D86D76" w:rsidRDefault="00D05E27" w:rsidP="009773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 veces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7367" w:rsidRPr="00D92C28" w:rsidRDefault="00977367" w:rsidP="0097736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47204F" w:rsidRDefault="0047204F" w:rsidP="0047204F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070F1" w:rsidRDefault="00A070F1" w:rsidP="0047204F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070F1" w:rsidRDefault="00A070F1" w:rsidP="0047204F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070F1" w:rsidRDefault="00A070F1" w:rsidP="0047204F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070F1" w:rsidRDefault="00A070F1" w:rsidP="0047204F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070F1" w:rsidRDefault="00A070F1" w:rsidP="0047204F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070F1" w:rsidRDefault="00A070F1" w:rsidP="0047204F">
      <w:pPr>
        <w:pStyle w:val="Sinespaciado"/>
        <w:jc w:val="both"/>
        <w:rPr>
          <w:rFonts w:ascii="Arial" w:hAnsi="Arial" w:cs="Arial"/>
          <w:sz w:val="16"/>
          <w:szCs w:val="16"/>
        </w:rPr>
        <w:sectPr w:rsidR="00A070F1" w:rsidSect="00D00156">
          <w:pgSz w:w="11907" w:h="8392" w:orient="landscape" w:code="11"/>
          <w:pgMar w:top="680" w:right="1236" w:bottom="680" w:left="624" w:header="624" w:footer="624" w:gutter="0"/>
          <w:cols w:space="708"/>
          <w:docGrid w:linePitch="360"/>
        </w:sect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2"/>
        <w:gridCol w:w="1777"/>
        <w:gridCol w:w="686"/>
        <w:gridCol w:w="267"/>
        <w:gridCol w:w="795"/>
        <w:gridCol w:w="1409"/>
        <w:gridCol w:w="332"/>
      </w:tblGrid>
      <w:tr w:rsidR="0015726F" w:rsidRPr="00232650" w:rsidTr="00517EAD">
        <w:trPr>
          <w:jc w:val="center"/>
        </w:trPr>
        <w:tc>
          <w:tcPr>
            <w:tcW w:w="0" w:type="auto"/>
            <w:gridSpan w:val="7"/>
            <w:vAlign w:val="bottom"/>
          </w:tcPr>
          <w:p w:rsidR="0015726F" w:rsidRPr="00232650" w:rsidRDefault="0015726F" w:rsidP="00517EAD">
            <w:pPr>
              <w:pStyle w:val="Sinespaciad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232650">
              <w:rPr>
                <w:rFonts w:ascii="Arial" w:hAnsi="Arial" w:cs="Arial"/>
                <w:b/>
                <w:sz w:val="13"/>
                <w:szCs w:val="13"/>
              </w:rPr>
              <w:lastRenderedPageBreak/>
              <w:t>“Comercializadora la Poblanita, S. A. de C. V.”</w:t>
            </w: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gridSpan w:val="7"/>
            <w:vAlign w:val="center"/>
          </w:tcPr>
          <w:p w:rsidR="0015726F" w:rsidRPr="00232650" w:rsidRDefault="0015726F" w:rsidP="00517EAD">
            <w:pPr>
              <w:pStyle w:val="Sinespaciad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232650">
              <w:rPr>
                <w:rFonts w:ascii="Arial" w:hAnsi="Arial" w:cs="Arial"/>
                <w:b/>
                <w:sz w:val="13"/>
                <w:szCs w:val="13"/>
              </w:rPr>
              <w:t>Estado de resultados del 1 de enero al 31 de diciembre de 2010</w:t>
            </w: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gridSpan w:val="4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gridSpan w:val="2"/>
          </w:tcPr>
          <w:p w:rsidR="0015726F" w:rsidRPr="00232650" w:rsidRDefault="0015726F" w:rsidP="00517EAD">
            <w:pPr>
              <w:pStyle w:val="Sinespaciad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232650">
              <w:rPr>
                <w:rFonts w:ascii="Arial" w:hAnsi="Arial" w:cs="Arial"/>
                <w:b/>
                <w:sz w:val="13"/>
                <w:szCs w:val="13"/>
              </w:rPr>
              <w:t>MILES DE PESOS</w:t>
            </w: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jc w:val="center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  <w:r w:rsidRPr="006D4CD9"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  <w:t>%</w:t>
            </w: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Ventas brutas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$3,800.00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–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Devoluciones sobre ventas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color w:val="FFFFFF"/>
                <w:sz w:val="13"/>
                <w:szCs w:val="13"/>
              </w:rPr>
              <w:t>0,0</w:t>
            </w:r>
            <w:r w:rsidRPr="00232650">
              <w:rPr>
                <w:rFonts w:ascii="Arial" w:hAnsi="Arial" w:cs="Arial"/>
                <w:sz w:val="13"/>
                <w:szCs w:val="13"/>
              </w:rPr>
              <w:t>50.00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trHeight w:val="60"/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–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Rebajas sobre ventas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color w:val="FFFFFF"/>
                <w:sz w:val="13"/>
                <w:szCs w:val="13"/>
              </w:rPr>
              <w:t>0,0</w:t>
            </w:r>
            <w:r w:rsidRPr="00232650">
              <w:rPr>
                <w:rFonts w:ascii="Arial" w:hAnsi="Arial" w:cs="Arial"/>
                <w:sz w:val="13"/>
                <w:szCs w:val="13"/>
              </w:rPr>
              <w:t>84.00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=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Ventas netas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3,666.00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(2,400 son a crédito)</w:t>
            </w: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–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Costo de ventas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2,038.00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=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Utilidad bruta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1,628.00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–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232650">
              <w:rPr>
                <w:rFonts w:ascii="Arial" w:hAnsi="Arial" w:cs="Arial"/>
                <w:b/>
                <w:sz w:val="13"/>
                <w:szCs w:val="13"/>
              </w:rPr>
              <w:t>Gastos de operación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–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Gastos de Venta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$274.00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*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–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Gastos de Administración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284.00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*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–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Gastos Financieros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494.00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+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Productos Financieros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color w:val="FFFFFF"/>
                <w:sz w:val="13"/>
                <w:szCs w:val="13"/>
              </w:rPr>
              <w:t>0</w:t>
            </w:r>
            <w:r w:rsidRPr="00232650">
              <w:rPr>
                <w:rFonts w:ascii="Arial" w:hAnsi="Arial" w:cs="Arial"/>
                <w:sz w:val="13"/>
                <w:szCs w:val="13"/>
              </w:rPr>
              <w:t>30.00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=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Utilidad de operación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color w:val="FFFFFF"/>
                <w:sz w:val="13"/>
                <w:szCs w:val="13"/>
              </w:rPr>
              <w:t>0,</w:t>
            </w:r>
            <w:r w:rsidRPr="00232650">
              <w:rPr>
                <w:rFonts w:ascii="Arial" w:hAnsi="Arial" w:cs="Arial"/>
                <w:sz w:val="13"/>
                <w:szCs w:val="13"/>
              </w:rPr>
              <w:t>606.00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–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Gastos por intereses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color w:val="FFFFFF"/>
                <w:sz w:val="13"/>
                <w:szCs w:val="13"/>
              </w:rPr>
              <w:t>0,00</w:t>
            </w:r>
            <w:r w:rsidRPr="00232650">
              <w:rPr>
                <w:rFonts w:ascii="Arial" w:hAnsi="Arial" w:cs="Arial"/>
                <w:sz w:val="13"/>
                <w:szCs w:val="13"/>
              </w:rPr>
              <w:t>8.00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+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Otros ingresos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color w:val="FFFFFF"/>
                <w:sz w:val="13"/>
                <w:szCs w:val="13"/>
              </w:rPr>
              <w:t>0,0</w:t>
            </w:r>
            <w:r w:rsidRPr="00232650">
              <w:rPr>
                <w:rFonts w:ascii="Arial" w:hAnsi="Arial" w:cs="Arial"/>
                <w:sz w:val="13"/>
                <w:szCs w:val="13"/>
              </w:rPr>
              <w:t>10.00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=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Utilidad del ejercicio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color w:val="FFFFFF"/>
                <w:sz w:val="13"/>
                <w:szCs w:val="13"/>
              </w:rPr>
              <w:t>0,</w:t>
            </w:r>
            <w:r w:rsidRPr="00232650">
              <w:rPr>
                <w:rFonts w:ascii="Arial" w:hAnsi="Arial" w:cs="Arial"/>
                <w:sz w:val="13"/>
                <w:szCs w:val="13"/>
              </w:rPr>
              <w:t>608.00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–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ISR 30%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color w:val="FFFFFF"/>
                <w:sz w:val="13"/>
                <w:szCs w:val="13"/>
              </w:rPr>
              <w:t>0,</w:t>
            </w:r>
            <w:r w:rsidRPr="00232650">
              <w:rPr>
                <w:rFonts w:ascii="Arial" w:hAnsi="Arial" w:cs="Arial"/>
                <w:sz w:val="13"/>
                <w:szCs w:val="13"/>
              </w:rPr>
              <w:t>182.40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–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PTU 10%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color w:val="FFFFFF"/>
                <w:sz w:val="13"/>
                <w:szCs w:val="13"/>
              </w:rPr>
              <w:t>0,0</w:t>
            </w:r>
            <w:r w:rsidRPr="00232650">
              <w:rPr>
                <w:rFonts w:ascii="Arial" w:hAnsi="Arial" w:cs="Arial"/>
                <w:sz w:val="13"/>
                <w:szCs w:val="13"/>
              </w:rPr>
              <w:t>60.80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=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sz w:val="13"/>
                <w:szCs w:val="13"/>
              </w:rPr>
              <w:t>Utilidad neta</w:t>
            </w:r>
          </w:p>
        </w:tc>
        <w:tc>
          <w:tcPr>
            <w:tcW w:w="0" w:type="auto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" w:hAnsi="Arial" w:cs="Arial"/>
                <w:sz w:val="13"/>
                <w:szCs w:val="13"/>
              </w:rPr>
            </w:pPr>
            <w:r w:rsidRPr="00232650">
              <w:rPr>
                <w:rFonts w:ascii="Arial" w:hAnsi="Arial" w:cs="Arial"/>
                <w:color w:val="FFFFFF"/>
                <w:sz w:val="13"/>
                <w:szCs w:val="13"/>
              </w:rPr>
              <w:t>0,</w:t>
            </w:r>
            <w:r w:rsidRPr="00232650">
              <w:rPr>
                <w:rFonts w:ascii="Arial" w:hAnsi="Arial" w:cs="Arial"/>
                <w:sz w:val="13"/>
                <w:szCs w:val="13"/>
              </w:rPr>
              <w:t>364.80</w:t>
            </w:r>
          </w:p>
        </w:tc>
        <w:tc>
          <w:tcPr>
            <w:tcW w:w="0" w:type="auto"/>
          </w:tcPr>
          <w:p w:rsidR="0015726F" w:rsidRPr="00232650" w:rsidRDefault="0015726F" w:rsidP="00517EAD">
            <w:pPr>
              <w:pStyle w:val="Sinespaciado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15726F" w:rsidRPr="006D4CD9" w:rsidRDefault="0015726F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3"/>
                <w:szCs w:val="13"/>
              </w:rPr>
            </w:pPr>
          </w:p>
        </w:tc>
      </w:tr>
    </w:tbl>
    <w:p w:rsidR="0015726F" w:rsidRPr="00232650" w:rsidRDefault="0015726F" w:rsidP="0015726F">
      <w:pPr>
        <w:pStyle w:val="Sinespaciado"/>
        <w:rPr>
          <w:rFonts w:ascii="Arial" w:hAnsi="Arial" w:cs="Arial"/>
          <w:sz w:val="14"/>
          <w:szCs w:val="16"/>
        </w:rPr>
      </w:pPr>
    </w:p>
    <w:p w:rsidR="0015726F" w:rsidRPr="00232650" w:rsidRDefault="0015726F" w:rsidP="0015726F">
      <w:pPr>
        <w:pStyle w:val="Sinespaciado"/>
        <w:numPr>
          <w:ilvl w:val="0"/>
          <w:numId w:val="28"/>
        </w:numPr>
        <w:ind w:left="284" w:hanging="284"/>
        <w:jc w:val="both"/>
        <w:rPr>
          <w:rFonts w:ascii="Arial" w:hAnsi="Arial" w:cs="Arial"/>
          <w:sz w:val="16"/>
          <w:szCs w:val="16"/>
        </w:rPr>
      </w:pPr>
      <w:r w:rsidRPr="00232650">
        <w:rPr>
          <w:rFonts w:ascii="Arial" w:hAnsi="Arial" w:cs="Arial"/>
          <w:sz w:val="16"/>
          <w:szCs w:val="16"/>
        </w:rPr>
        <w:t>En los gastos de venta y en los gastos de administración están incluidos $20 (por cada  departamento) por concepto de pago de renta.</w:t>
      </w:r>
    </w:p>
    <w:p w:rsidR="0015726F" w:rsidRPr="00232650" w:rsidRDefault="0015726F" w:rsidP="0015726F">
      <w:pPr>
        <w:pStyle w:val="Sinespaciado"/>
        <w:rPr>
          <w:rFonts w:ascii="Arial" w:hAnsi="Arial" w:cs="Arial"/>
          <w:sz w:val="16"/>
          <w:szCs w:val="16"/>
        </w:rPr>
      </w:pPr>
      <w:r w:rsidRPr="00232650">
        <w:rPr>
          <w:rFonts w:ascii="Arial" w:hAnsi="Arial" w:cs="Arial"/>
          <w:b/>
          <w:sz w:val="16"/>
          <w:szCs w:val="16"/>
        </w:rPr>
        <w:t>NOTA:</w:t>
      </w:r>
      <w:r w:rsidRPr="00232650">
        <w:rPr>
          <w:rFonts w:ascii="Arial" w:hAnsi="Arial" w:cs="Arial"/>
          <w:sz w:val="16"/>
          <w:szCs w:val="16"/>
        </w:rPr>
        <w:t xml:space="preserve"> En este ejercicio los cargos fijos son la renta y los gastos por intereses.</w:t>
      </w:r>
    </w:p>
    <w:p w:rsidR="0015726F" w:rsidRPr="00232650" w:rsidRDefault="0015726F" w:rsidP="0015726F">
      <w:pPr>
        <w:pStyle w:val="Sinespaciado"/>
        <w:rPr>
          <w:rFonts w:ascii="Arial" w:hAnsi="Arial" w:cs="Arial"/>
          <w:sz w:val="14"/>
          <w:szCs w:val="16"/>
        </w:rPr>
      </w:pPr>
    </w:p>
    <w:tbl>
      <w:tblPr>
        <w:tblW w:w="5062" w:type="pct"/>
        <w:jc w:val="center"/>
        <w:tblLook w:val="04A0" w:firstRow="1" w:lastRow="0" w:firstColumn="1" w:lastColumn="0" w:noHBand="0" w:noVBand="1"/>
      </w:tblPr>
      <w:tblGrid>
        <w:gridCol w:w="1638"/>
        <w:gridCol w:w="775"/>
        <w:gridCol w:w="710"/>
        <w:gridCol w:w="420"/>
        <w:gridCol w:w="1744"/>
        <w:gridCol w:w="710"/>
        <w:gridCol w:w="713"/>
        <w:gridCol w:w="409"/>
      </w:tblGrid>
      <w:tr w:rsidR="0015726F" w:rsidRPr="00232650" w:rsidTr="00517EAD">
        <w:trPr>
          <w:jc w:val="center"/>
        </w:trPr>
        <w:tc>
          <w:tcPr>
            <w:tcW w:w="5000" w:type="pct"/>
            <w:gridSpan w:val="8"/>
            <w:vAlign w:val="center"/>
          </w:tcPr>
          <w:p w:rsidR="0015726F" w:rsidRPr="00232650" w:rsidRDefault="0015726F" w:rsidP="00517EAD">
            <w:pPr>
              <w:pStyle w:val="Sinespaciad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232650">
              <w:rPr>
                <w:rFonts w:ascii="Arial" w:hAnsi="Arial" w:cs="Arial"/>
                <w:b/>
                <w:sz w:val="13"/>
                <w:szCs w:val="13"/>
              </w:rPr>
              <w:t>“Comercializadora la Poblanita  S. A. de C. V.”</w:t>
            </w:r>
          </w:p>
        </w:tc>
      </w:tr>
      <w:tr w:rsidR="0015726F" w:rsidRPr="00232650" w:rsidTr="00517EAD">
        <w:trPr>
          <w:jc w:val="center"/>
        </w:trPr>
        <w:tc>
          <w:tcPr>
            <w:tcW w:w="4713" w:type="pct"/>
            <w:gridSpan w:val="7"/>
            <w:vAlign w:val="center"/>
          </w:tcPr>
          <w:p w:rsidR="0015726F" w:rsidRPr="00232650" w:rsidRDefault="0015726F" w:rsidP="00517EAD">
            <w:pPr>
              <w:pStyle w:val="Sinespaciad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232650">
              <w:rPr>
                <w:rFonts w:ascii="Arial" w:hAnsi="Arial" w:cs="Arial"/>
                <w:b/>
                <w:sz w:val="13"/>
                <w:szCs w:val="13"/>
              </w:rPr>
              <w:t>Balance General al 31 de diciembre de 2010</w:t>
            </w:r>
          </w:p>
        </w:tc>
        <w:tc>
          <w:tcPr>
            <w:tcW w:w="287" w:type="pct"/>
          </w:tcPr>
          <w:p w:rsidR="0015726F" w:rsidRPr="00232650" w:rsidRDefault="0015726F" w:rsidP="00517EAD">
            <w:pPr>
              <w:pStyle w:val="Sinespaciado"/>
              <w:jc w:val="center"/>
              <w:rPr>
                <w:rFonts w:ascii="Arial Narrow" w:hAnsi="Arial Narrow" w:cs="Arial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jc w:val="center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  <w:t>%</w:t>
            </w: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jc w:val="center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  <w:t>%</w:t>
            </w: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i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i/>
                <w:sz w:val="13"/>
                <w:szCs w:val="13"/>
              </w:rPr>
              <w:t>ACTIVO</w:t>
            </w: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center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Miles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i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i/>
                <w:sz w:val="13"/>
                <w:szCs w:val="13"/>
              </w:rPr>
              <w:t>PASIVO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center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Miles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i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i/>
                <w:sz w:val="13"/>
                <w:szCs w:val="13"/>
              </w:rPr>
              <w:t>CIRCULANTE</w:t>
            </w: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i/>
                <w:sz w:val="13"/>
                <w:szCs w:val="13"/>
              </w:rPr>
              <w:t xml:space="preserve">CIRCULANTE </w:t>
            </w: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(</w:t>
            </w:r>
            <w:r w:rsidRPr="00232650">
              <w:rPr>
                <w:rFonts w:ascii="Arial Narrow" w:hAnsi="Arial Narrow" w:cs="Arial"/>
                <w:b/>
                <w:i/>
                <w:sz w:val="13"/>
                <w:szCs w:val="13"/>
              </w:rPr>
              <w:t>CORTO PLAZO</w:t>
            </w: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)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Caja</w:t>
            </w: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+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$</w:t>
            </w: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0,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520.00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Proveedores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$</w:t>
            </w: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0,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740.00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Bancos</w:t>
            </w: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+0,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734.00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Documentos por pagar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0,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720.00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Inversiones en valores</w:t>
            </w: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+0,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300.00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Acreedores diversos</w:t>
            </w:r>
          </w:p>
        </w:tc>
        <w:tc>
          <w:tcPr>
            <w:tcW w:w="499" w:type="pct"/>
            <w:tcBorders>
              <w:bottom w:val="sing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0,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320.00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Clientes (cuentas por cobrar)</w:t>
            </w: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+0,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400.00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SUMA CIRCULANTE</w:t>
            </w:r>
          </w:p>
        </w:tc>
        <w:tc>
          <w:tcPr>
            <w:tcW w:w="499" w:type="pct"/>
            <w:tcBorders>
              <w:top w:val="sing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$1,780.00</w:t>
            </w: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Almacén</w:t>
            </w: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+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1,840.00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Deudores diversos</w:t>
            </w:r>
          </w:p>
        </w:tc>
        <w:tc>
          <w:tcPr>
            <w:tcW w:w="544" w:type="pct"/>
            <w:tcBorders>
              <w:bottom w:val="sing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+0,0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60.00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i/>
                <w:sz w:val="13"/>
                <w:szCs w:val="13"/>
              </w:rPr>
              <w:t>FIJO</w:t>
            </w: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 xml:space="preserve"> (</w:t>
            </w:r>
            <w:r w:rsidRPr="00232650">
              <w:rPr>
                <w:rFonts w:ascii="Arial Narrow" w:hAnsi="Arial Narrow" w:cs="Arial"/>
                <w:b/>
                <w:i/>
                <w:sz w:val="13"/>
                <w:szCs w:val="13"/>
              </w:rPr>
              <w:t>LARGO PLAZO</w:t>
            </w: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)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SUMA CIRCULANTE</w:t>
            </w:r>
          </w:p>
        </w:tc>
        <w:tc>
          <w:tcPr>
            <w:tcW w:w="544" w:type="pct"/>
            <w:tcBorders>
              <w:top w:val="sing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$3,845.00</w:t>
            </w: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Adeudos bancarios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1,000.00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Documentos por pagar</w:t>
            </w:r>
          </w:p>
        </w:tc>
        <w:tc>
          <w:tcPr>
            <w:tcW w:w="499" w:type="pct"/>
            <w:tcBorders>
              <w:bottom w:val="sing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0,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620.00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i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i/>
                <w:sz w:val="13"/>
                <w:szCs w:val="13"/>
              </w:rPr>
              <w:t>FIJO</w:t>
            </w: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SUMA FIJO</w:t>
            </w:r>
          </w:p>
        </w:tc>
        <w:tc>
          <w:tcPr>
            <w:tcW w:w="499" w:type="pct"/>
            <w:tcBorders>
              <w:top w:val="sing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1,620.00</w:t>
            </w: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Terrenos</w:t>
            </w: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+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1,400.00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Edificios</w:t>
            </w: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+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1,694.00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i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i/>
                <w:sz w:val="13"/>
                <w:szCs w:val="13"/>
              </w:rPr>
              <w:t>DIFERIDO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Depreciación</w:t>
            </w: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–</w:t>
            </w:r>
            <w:r w:rsidRPr="00235D2C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$</w:t>
            </w: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0,0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84.00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Rentas cobradas por anticipado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0,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140.00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Equipo de oficina</w:t>
            </w: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+0,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900.00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Intereses pagados por anticipado</w:t>
            </w:r>
          </w:p>
        </w:tc>
        <w:tc>
          <w:tcPr>
            <w:tcW w:w="499" w:type="pct"/>
            <w:tcBorders>
              <w:bottom w:val="sing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0,0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40.00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Depreciación</w:t>
            </w:r>
          </w:p>
        </w:tc>
        <w:tc>
          <w:tcPr>
            <w:tcW w:w="544" w:type="pct"/>
            <w:tcBorders>
              <w:bottom w:val="sing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–</w:t>
            </w:r>
            <w:r w:rsidRPr="00235D2C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$</w:t>
            </w: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0,0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90.00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SUMA DIFERIDO</w:t>
            </w:r>
          </w:p>
        </w:tc>
        <w:tc>
          <w:tcPr>
            <w:tcW w:w="499" w:type="pct"/>
            <w:tcBorders>
              <w:top w:val="sing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color w:val="FFFFFF"/>
                <w:sz w:val="13"/>
                <w:szCs w:val="13"/>
              </w:rPr>
              <w:t>0,</w:t>
            </w: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180.00</w:t>
            </w: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SUMA FIJO</w:t>
            </w:r>
          </w:p>
        </w:tc>
        <w:tc>
          <w:tcPr>
            <w:tcW w:w="544" w:type="pct"/>
            <w:tcBorders>
              <w:top w:val="sing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3,820.00</w:t>
            </w: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tcBorders>
              <w:bottom w:val="sing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SUMA PASIVO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tcBorders>
              <w:top w:val="sing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3,580.00</w:t>
            </w: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i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i/>
                <w:sz w:val="13"/>
                <w:szCs w:val="13"/>
              </w:rPr>
              <w:t>DIFERIDO</w:t>
            </w: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Depósitos en Garantía</w:t>
            </w: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+0,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180.00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CAPITAL CONTABLE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Primas de seguros</w:t>
            </w:r>
          </w:p>
        </w:tc>
        <w:tc>
          <w:tcPr>
            <w:tcW w:w="544" w:type="pct"/>
            <w:tcBorders>
              <w:bottom w:val="sing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+0,0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80.00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Capital social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3,400.00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SUMA DIFERIDO</w:t>
            </w:r>
          </w:p>
        </w:tc>
        <w:tc>
          <w:tcPr>
            <w:tcW w:w="544" w:type="pct"/>
            <w:tcBorders>
              <w:top w:val="sing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color w:val="FFFFFF"/>
                <w:sz w:val="13"/>
                <w:szCs w:val="13"/>
              </w:rPr>
              <w:t>0,</w:t>
            </w: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260.00</w:t>
            </w: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Utilidad de ejercicios anteriores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0,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589.20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Utilidad del ejercicio</w:t>
            </w:r>
          </w:p>
        </w:tc>
        <w:tc>
          <w:tcPr>
            <w:tcW w:w="499" w:type="pct"/>
            <w:tcBorders>
              <w:bottom w:val="sing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0,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364.80</w:t>
            </w: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5D2C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5D2C">
              <w:rPr>
                <w:rFonts w:ascii="Arial Narrow" w:hAnsi="Arial Narrow" w:cs="Arial"/>
                <w:b/>
                <w:sz w:val="13"/>
                <w:szCs w:val="13"/>
              </w:rPr>
              <w:t>SUMA CAPITAL CONTABLE</w:t>
            </w:r>
          </w:p>
        </w:tc>
        <w:tc>
          <w:tcPr>
            <w:tcW w:w="499" w:type="pct"/>
            <w:tcBorders>
              <w:top w:val="single" w:sz="12" w:space="0" w:color="auto"/>
            </w:tcBorders>
            <w:vAlign w:val="center"/>
          </w:tcPr>
          <w:p w:rsidR="0015726F" w:rsidRPr="00235D2C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5D2C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5D2C">
              <w:rPr>
                <w:rFonts w:ascii="Arial Narrow" w:hAnsi="Arial Narrow" w:cs="Arial"/>
                <w:b/>
                <w:sz w:val="13"/>
                <w:szCs w:val="13"/>
              </w:rPr>
              <w:t>4,354.00</w:t>
            </w: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tcBorders>
              <w:bottom w:val="sing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5D2C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15726F" w:rsidRPr="00235D2C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tcBorders>
              <w:bottom w:val="single" w:sz="12" w:space="0" w:color="auto"/>
            </w:tcBorders>
            <w:vAlign w:val="center"/>
          </w:tcPr>
          <w:p w:rsidR="0015726F" w:rsidRPr="00235D2C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15726F" w:rsidRPr="00232650" w:rsidTr="00517EAD">
        <w:trPr>
          <w:jc w:val="center"/>
        </w:trPr>
        <w:tc>
          <w:tcPr>
            <w:tcW w:w="1150" w:type="pct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SUMA ACTIVO</w:t>
            </w:r>
          </w:p>
        </w:tc>
        <w:tc>
          <w:tcPr>
            <w:tcW w:w="544" w:type="pct"/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:rsidR="0015726F" w:rsidRPr="00232650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$7,934.00</w:t>
            </w: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15726F" w:rsidRPr="00235D2C" w:rsidRDefault="0015726F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5D2C">
              <w:rPr>
                <w:rFonts w:ascii="Arial Narrow" w:hAnsi="Arial Narrow" w:cs="Arial"/>
                <w:b/>
                <w:sz w:val="13"/>
                <w:szCs w:val="13"/>
              </w:rPr>
              <w:t>SUMA PASIVO MÁS CAPITAL</w:t>
            </w:r>
          </w:p>
        </w:tc>
        <w:tc>
          <w:tcPr>
            <w:tcW w:w="499" w:type="pct"/>
            <w:vAlign w:val="center"/>
          </w:tcPr>
          <w:p w:rsidR="0015726F" w:rsidRPr="00235D2C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:rsidR="0015726F" w:rsidRPr="00235D2C" w:rsidRDefault="0015726F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5D2C">
              <w:rPr>
                <w:rFonts w:ascii="Arial Narrow" w:hAnsi="Arial Narrow" w:cs="Arial"/>
                <w:b/>
                <w:sz w:val="13"/>
                <w:szCs w:val="13"/>
              </w:rPr>
              <w:t>$7,934.00</w:t>
            </w:r>
          </w:p>
        </w:tc>
        <w:tc>
          <w:tcPr>
            <w:tcW w:w="287" w:type="pct"/>
            <w:shd w:val="clear" w:color="auto" w:fill="4F81BD" w:themeFill="accent1"/>
          </w:tcPr>
          <w:p w:rsidR="0015726F" w:rsidRPr="00232650" w:rsidRDefault="0015726F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</w:tbl>
    <w:p w:rsidR="0015726F" w:rsidRDefault="0015726F" w:rsidP="0015726F">
      <w:pPr>
        <w:pStyle w:val="Sinespaciado"/>
        <w:rPr>
          <w:rFonts w:ascii="Arial" w:hAnsi="Arial" w:cs="Arial"/>
          <w:sz w:val="16"/>
          <w:szCs w:val="16"/>
        </w:rPr>
      </w:pPr>
    </w:p>
    <w:p w:rsidR="0015726F" w:rsidRDefault="0015726F" w:rsidP="0015726F">
      <w:pPr>
        <w:pStyle w:val="Sinespaciado"/>
        <w:rPr>
          <w:rFonts w:ascii="Arial" w:hAnsi="Arial" w:cs="Arial"/>
          <w:sz w:val="16"/>
          <w:szCs w:val="16"/>
        </w:rPr>
      </w:pPr>
    </w:p>
    <w:p w:rsidR="0015726F" w:rsidRDefault="0015726F" w:rsidP="0015726F">
      <w:pPr>
        <w:pStyle w:val="Sinespaciado"/>
        <w:rPr>
          <w:rFonts w:ascii="Arial" w:hAnsi="Arial" w:cs="Arial"/>
          <w:sz w:val="16"/>
          <w:szCs w:val="16"/>
        </w:rPr>
      </w:pPr>
    </w:p>
    <w:sectPr w:rsidR="0015726F" w:rsidSect="00B76801">
      <w:headerReference w:type="default" r:id="rId12"/>
      <w:footerReference w:type="default" r:id="rId13"/>
      <w:pgSz w:w="8392" w:h="11907" w:code="11"/>
      <w:pgMar w:top="1257" w:right="680" w:bottom="624" w:left="68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B65" w:rsidRDefault="00331B65" w:rsidP="00F54E37">
      <w:pPr>
        <w:spacing w:after="0" w:line="240" w:lineRule="auto"/>
      </w:pPr>
      <w:r>
        <w:separator/>
      </w:r>
    </w:p>
  </w:endnote>
  <w:endnote w:type="continuationSeparator" w:id="0">
    <w:p w:rsidR="00331B65" w:rsidRDefault="00331B65" w:rsidP="00F5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04F" w:rsidRPr="000B7383" w:rsidRDefault="000627BD" w:rsidP="00D00156">
    <w:pPr>
      <w:pStyle w:val="Piedepgina"/>
      <w:rPr>
        <w:sz w:val="2"/>
        <w:szCs w:val="2"/>
      </w:rPr>
    </w:pPr>
    <w:r w:rsidRPr="000627BD">
      <w:rPr>
        <w:noProof/>
        <w:color w:val="4F81BD" w:themeColor="accent1"/>
        <w:sz w:val="2"/>
        <w:szCs w:val="2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D558C8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 w:rsidRPr="000627BD">
      <w:rPr>
        <w:color w:val="4F81BD" w:themeColor="accent1"/>
        <w:sz w:val="2"/>
        <w:szCs w:val="2"/>
      </w:rPr>
      <w:t xml:space="preserve"> </w:t>
    </w:r>
    <w:r w:rsidRPr="000627BD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 w:rsidRPr="000627BD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 w:rsidRPr="000627BD">
      <w:rPr>
        <w:color w:val="4F81BD" w:themeColor="accent1"/>
        <w:sz w:val="20"/>
        <w:szCs w:val="20"/>
      </w:rPr>
      <w:instrText>PAGE    \* MERGEFORMAT</w:instrText>
    </w:r>
    <w:r w:rsidRPr="000627BD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8734C7" w:rsidRPr="008734C7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 w:rsidRPr="000627BD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534"/>
      <w:gridCol w:w="6714"/>
    </w:tblGrid>
    <w:tr w:rsidR="0047204F" w:rsidRPr="0081604E" w:rsidTr="00D00156">
      <w:tc>
        <w:tcPr>
          <w:tcW w:w="534" w:type="dxa"/>
          <w:vAlign w:val="center"/>
        </w:tcPr>
        <w:p w:rsidR="0047204F" w:rsidRPr="0083461A" w:rsidRDefault="0047204F" w:rsidP="00D00156">
          <w:pPr>
            <w:pStyle w:val="Piedepgina"/>
            <w:jc w:val="center"/>
            <w:rPr>
              <w:rFonts w:ascii="Century Schoolbook" w:hAnsi="Century Schoolbook"/>
              <w:b/>
              <w:sz w:val="16"/>
              <w:szCs w:val="16"/>
            </w:rPr>
          </w:pPr>
          <w:r w:rsidRPr="0083461A">
            <w:rPr>
              <w:rFonts w:ascii="Century Schoolbook" w:hAnsi="Century Schoolbook"/>
              <w:b/>
              <w:sz w:val="16"/>
              <w:szCs w:val="16"/>
            </w:rPr>
            <w:fldChar w:fldCharType="begin"/>
          </w:r>
          <w:r w:rsidRPr="0083461A">
            <w:rPr>
              <w:rFonts w:ascii="Century Schoolbook" w:hAnsi="Century Schoolbook"/>
              <w:b/>
              <w:sz w:val="16"/>
              <w:szCs w:val="16"/>
            </w:rPr>
            <w:instrText xml:space="preserve"> PAGE   \* MERGEFORMAT </w:instrText>
          </w:r>
          <w:r w:rsidRPr="0083461A">
            <w:rPr>
              <w:rFonts w:ascii="Century Schoolbook" w:hAnsi="Century Schoolbook"/>
              <w:b/>
              <w:sz w:val="16"/>
              <w:szCs w:val="16"/>
            </w:rPr>
            <w:fldChar w:fldCharType="separate"/>
          </w:r>
          <w:r w:rsidRPr="008D379D">
            <w:rPr>
              <w:rFonts w:ascii="Century Schoolbook" w:hAnsi="Century Schoolbook"/>
              <w:b/>
              <w:noProof/>
              <w:color w:val="2DA2BF"/>
              <w:sz w:val="16"/>
              <w:szCs w:val="16"/>
            </w:rPr>
            <w:t>44</w:t>
          </w:r>
          <w:r w:rsidRPr="0083461A">
            <w:rPr>
              <w:rFonts w:ascii="Century Schoolbook" w:hAnsi="Century Schoolbook"/>
              <w:b/>
              <w:sz w:val="16"/>
              <w:szCs w:val="16"/>
            </w:rPr>
            <w:fldChar w:fldCharType="end"/>
          </w:r>
        </w:p>
      </w:tc>
      <w:tc>
        <w:tcPr>
          <w:tcW w:w="6714" w:type="dxa"/>
        </w:tcPr>
        <w:p w:rsidR="0047204F" w:rsidRPr="0081604E" w:rsidRDefault="0047204F" w:rsidP="00D00156">
          <w:pPr>
            <w:pStyle w:val="Piedepgina"/>
            <w:tabs>
              <w:tab w:val="right" w:pos="6248"/>
            </w:tabs>
            <w:jc w:val="right"/>
            <w:rPr>
              <w:rFonts w:ascii="Century Schoolbook" w:hAnsi="Century Schoolbook"/>
              <w:b/>
              <w:sz w:val="12"/>
              <w:szCs w:val="16"/>
            </w:rPr>
          </w:pPr>
          <w:r w:rsidRPr="0081604E">
            <w:rPr>
              <w:rFonts w:ascii="Century Schoolbook" w:hAnsi="Century Schoolbook"/>
              <w:b/>
              <w:sz w:val="12"/>
              <w:szCs w:val="16"/>
            </w:rPr>
            <w:tab/>
            <w:t xml:space="preserve">  M. en C. Josefina Hernández Jaime</w:t>
          </w:r>
        </w:p>
        <w:p w:rsidR="0047204F" w:rsidRPr="0081604E" w:rsidRDefault="0047204F" w:rsidP="00D00156">
          <w:pPr>
            <w:pStyle w:val="Piedepgina"/>
            <w:tabs>
              <w:tab w:val="right" w:pos="6248"/>
            </w:tabs>
            <w:jc w:val="right"/>
            <w:rPr>
              <w:rFonts w:ascii="Century Schoolbook" w:hAnsi="Century Schoolbook"/>
              <w:b/>
              <w:sz w:val="12"/>
              <w:szCs w:val="16"/>
            </w:rPr>
          </w:pPr>
          <w:r w:rsidRPr="0081604E">
            <w:rPr>
              <w:rFonts w:ascii="Century Schoolbook" w:hAnsi="Century Schoolbook"/>
              <w:b/>
              <w:sz w:val="12"/>
              <w:szCs w:val="16"/>
            </w:rPr>
            <w:t xml:space="preserve">M. en C. </w:t>
          </w:r>
          <w:proofErr w:type="spellStart"/>
          <w:r w:rsidRPr="0081604E">
            <w:rPr>
              <w:rFonts w:ascii="Century Schoolbook" w:hAnsi="Century Schoolbook"/>
              <w:b/>
              <w:sz w:val="12"/>
              <w:szCs w:val="16"/>
            </w:rPr>
            <w:t>Yasmín</w:t>
          </w:r>
          <w:proofErr w:type="spellEnd"/>
          <w:r w:rsidRPr="0081604E">
            <w:rPr>
              <w:rFonts w:ascii="Century Schoolbook" w:hAnsi="Century Schoolbook"/>
              <w:b/>
              <w:sz w:val="12"/>
              <w:szCs w:val="16"/>
            </w:rPr>
            <w:t xml:space="preserve"> Ivette Jiménez Galán</w:t>
          </w:r>
        </w:p>
      </w:tc>
    </w:tr>
  </w:tbl>
  <w:p w:rsidR="0047204F" w:rsidRPr="000D37E2" w:rsidRDefault="0047204F">
    <w:pPr>
      <w:pStyle w:val="Piedepgina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1FD" w:rsidRPr="004371EF" w:rsidRDefault="001631FD" w:rsidP="00E9410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B65" w:rsidRDefault="00331B65" w:rsidP="00F54E37">
      <w:pPr>
        <w:spacing w:after="0" w:line="240" w:lineRule="auto"/>
      </w:pPr>
      <w:r>
        <w:separator/>
      </w:r>
    </w:p>
  </w:footnote>
  <w:footnote w:type="continuationSeparator" w:id="0">
    <w:p w:rsidR="00331B65" w:rsidRDefault="00331B65" w:rsidP="00F5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04F" w:rsidRPr="00E70830" w:rsidRDefault="0047204F" w:rsidP="00D00156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</w:rPr>
    </w:pPr>
    <w:r>
      <w:rPr>
        <w:rFonts w:ascii="Century Schoolbook" w:eastAsia="Times New Roman" w:hAnsi="Century Schoolbook"/>
        <w:b/>
        <w:sz w:val="20"/>
        <w:szCs w:val="20"/>
      </w:rPr>
      <w:t>Administración F</w:t>
    </w:r>
    <w:r w:rsidRPr="00E70830">
      <w:rPr>
        <w:rFonts w:ascii="Century Schoolbook" w:eastAsia="Times New Roman" w:hAnsi="Century Schoolbook"/>
        <w:b/>
        <w:sz w:val="20"/>
        <w:szCs w:val="20"/>
      </w:rPr>
      <w:t>inanciera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04F" w:rsidRPr="00E70830" w:rsidRDefault="0047204F" w:rsidP="000D37E2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</w:rPr>
    </w:pPr>
    <w:r>
      <w:rPr>
        <w:rFonts w:ascii="Century Schoolbook" w:eastAsia="Times New Roman" w:hAnsi="Century Schoolbook"/>
        <w:b/>
        <w:sz w:val="20"/>
        <w:szCs w:val="20"/>
      </w:rPr>
      <w:t>Administración F</w:t>
    </w:r>
    <w:r w:rsidRPr="00E70830">
      <w:rPr>
        <w:rFonts w:ascii="Century Schoolbook" w:eastAsia="Times New Roman" w:hAnsi="Century Schoolbook"/>
        <w:b/>
        <w:sz w:val="20"/>
        <w:szCs w:val="20"/>
      </w:rPr>
      <w:t>inanciera</w:t>
    </w:r>
  </w:p>
  <w:p w:rsidR="0047204F" w:rsidRDefault="0047204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1FD" w:rsidRPr="00E70830" w:rsidRDefault="00B76801" w:rsidP="00BA4BDB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</w:rPr>
    </w:pPr>
    <w:r>
      <w:rPr>
        <w:rFonts w:ascii="Century Schoolbook" w:eastAsia="Times New Roman" w:hAnsi="Century Schoolbook"/>
        <w:b/>
        <w:sz w:val="20"/>
        <w:szCs w:val="20"/>
      </w:rPr>
      <w:t>Administración F</w:t>
    </w:r>
    <w:r w:rsidR="001631FD" w:rsidRPr="00E70830">
      <w:rPr>
        <w:rFonts w:ascii="Century Schoolbook" w:eastAsia="Times New Roman" w:hAnsi="Century Schoolbook"/>
        <w:b/>
        <w:sz w:val="20"/>
        <w:szCs w:val="20"/>
      </w:rPr>
      <w:t>inanciera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418C"/>
    <w:multiLevelType w:val="hybridMultilevel"/>
    <w:tmpl w:val="CCF46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0B7"/>
    <w:multiLevelType w:val="hybridMultilevel"/>
    <w:tmpl w:val="9E1AD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63FA6"/>
    <w:multiLevelType w:val="hybridMultilevel"/>
    <w:tmpl w:val="E88CD9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3810"/>
    <w:multiLevelType w:val="hybridMultilevel"/>
    <w:tmpl w:val="D40EC0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07DEB"/>
    <w:multiLevelType w:val="hybridMultilevel"/>
    <w:tmpl w:val="876237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0578A4"/>
    <w:multiLevelType w:val="hybridMultilevel"/>
    <w:tmpl w:val="E546371E"/>
    <w:lvl w:ilvl="0" w:tplc="EEE0C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52202D"/>
    <w:multiLevelType w:val="hybridMultilevel"/>
    <w:tmpl w:val="8034B95E"/>
    <w:lvl w:ilvl="0" w:tplc="DE2E1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6814AA"/>
    <w:multiLevelType w:val="hybridMultilevel"/>
    <w:tmpl w:val="D40EC0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B5887"/>
    <w:multiLevelType w:val="hybridMultilevel"/>
    <w:tmpl w:val="0FACB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849A5"/>
    <w:multiLevelType w:val="hybridMultilevel"/>
    <w:tmpl w:val="0C241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44586"/>
    <w:multiLevelType w:val="hybridMultilevel"/>
    <w:tmpl w:val="F3BE69EC"/>
    <w:lvl w:ilvl="0" w:tplc="1026008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26C11"/>
    <w:multiLevelType w:val="hybridMultilevel"/>
    <w:tmpl w:val="27F4F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01385"/>
    <w:multiLevelType w:val="hybridMultilevel"/>
    <w:tmpl w:val="F9605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C658F"/>
    <w:multiLevelType w:val="hybridMultilevel"/>
    <w:tmpl w:val="6B76E9A0"/>
    <w:lvl w:ilvl="0" w:tplc="1D525BF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03443"/>
    <w:multiLevelType w:val="hybridMultilevel"/>
    <w:tmpl w:val="532C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1594E"/>
    <w:multiLevelType w:val="hybridMultilevel"/>
    <w:tmpl w:val="B66A971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C83ED2"/>
    <w:multiLevelType w:val="hybridMultilevel"/>
    <w:tmpl w:val="8312CE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003B6"/>
    <w:multiLevelType w:val="hybridMultilevel"/>
    <w:tmpl w:val="FF1E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72BDB"/>
    <w:multiLevelType w:val="hybridMultilevel"/>
    <w:tmpl w:val="5414D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3319F"/>
    <w:multiLevelType w:val="hybridMultilevel"/>
    <w:tmpl w:val="5B38E1C2"/>
    <w:lvl w:ilvl="0" w:tplc="78A018D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9354E"/>
    <w:multiLevelType w:val="hybridMultilevel"/>
    <w:tmpl w:val="98B25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0631A"/>
    <w:multiLevelType w:val="hybridMultilevel"/>
    <w:tmpl w:val="E2905E30"/>
    <w:lvl w:ilvl="0" w:tplc="F3268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66289"/>
    <w:multiLevelType w:val="multilevel"/>
    <w:tmpl w:val="62CC8148"/>
    <w:lvl w:ilvl="0">
      <w:start w:val="1"/>
      <w:numFmt w:val="decimal"/>
      <w:lvlText w:val="A%1)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FAF66B9"/>
    <w:multiLevelType w:val="hybridMultilevel"/>
    <w:tmpl w:val="12D48CB8"/>
    <w:lvl w:ilvl="0" w:tplc="E3721D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67251"/>
    <w:multiLevelType w:val="hybridMultilevel"/>
    <w:tmpl w:val="AB520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C5EB7"/>
    <w:multiLevelType w:val="hybridMultilevel"/>
    <w:tmpl w:val="9B6E3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57DFD"/>
    <w:multiLevelType w:val="hybridMultilevel"/>
    <w:tmpl w:val="B8D8AA96"/>
    <w:lvl w:ilvl="0" w:tplc="EDB00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88081D"/>
    <w:multiLevelType w:val="hybridMultilevel"/>
    <w:tmpl w:val="E7F07BCC"/>
    <w:lvl w:ilvl="0" w:tplc="94E6AA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17FE6"/>
    <w:multiLevelType w:val="hybridMultilevel"/>
    <w:tmpl w:val="FF0276C8"/>
    <w:lvl w:ilvl="0" w:tplc="407AF0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21"/>
  </w:num>
  <w:num w:numId="5">
    <w:abstractNumId w:val="11"/>
  </w:num>
  <w:num w:numId="6">
    <w:abstractNumId w:val="9"/>
  </w:num>
  <w:num w:numId="7">
    <w:abstractNumId w:val="17"/>
  </w:num>
  <w:num w:numId="8">
    <w:abstractNumId w:val="24"/>
  </w:num>
  <w:num w:numId="9">
    <w:abstractNumId w:val="15"/>
  </w:num>
  <w:num w:numId="10">
    <w:abstractNumId w:val="26"/>
  </w:num>
  <w:num w:numId="11">
    <w:abstractNumId w:val="18"/>
  </w:num>
  <w:num w:numId="12">
    <w:abstractNumId w:val="1"/>
  </w:num>
  <w:num w:numId="13">
    <w:abstractNumId w:val="4"/>
  </w:num>
  <w:num w:numId="14">
    <w:abstractNumId w:val="16"/>
  </w:num>
  <w:num w:numId="15">
    <w:abstractNumId w:val="0"/>
  </w:num>
  <w:num w:numId="16">
    <w:abstractNumId w:val="23"/>
  </w:num>
  <w:num w:numId="17">
    <w:abstractNumId w:val="20"/>
  </w:num>
  <w:num w:numId="18">
    <w:abstractNumId w:val="13"/>
  </w:num>
  <w:num w:numId="19">
    <w:abstractNumId w:val="25"/>
  </w:num>
  <w:num w:numId="20">
    <w:abstractNumId w:val="3"/>
  </w:num>
  <w:num w:numId="21">
    <w:abstractNumId w:val="28"/>
  </w:num>
  <w:num w:numId="22">
    <w:abstractNumId w:val="2"/>
  </w:num>
  <w:num w:numId="23">
    <w:abstractNumId w:val="7"/>
  </w:num>
  <w:num w:numId="24">
    <w:abstractNumId w:val="5"/>
  </w:num>
  <w:num w:numId="25">
    <w:abstractNumId w:val="6"/>
  </w:num>
  <w:num w:numId="26">
    <w:abstractNumId w:val="22"/>
  </w:num>
  <w:num w:numId="27">
    <w:abstractNumId w:val="12"/>
  </w:num>
  <w:num w:numId="28">
    <w:abstractNumId w:val="27"/>
  </w:num>
  <w:num w:numId="29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3D"/>
    <w:rsid w:val="00003836"/>
    <w:rsid w:val="000054DE"/>
    <w:rsid w:val="000140A9"/>
    <w:rsid w:val="00030E99"/>
    <w:rsid w:val="00032EB2"/>
    <w:rsid w:val="00045669"/>
    <w:rsid w:val="00046961"/>
    <w:rsid w:val="00047100"/>
    <w:rsid w:val="000527B1"/>
    <w:rsid w:val="00055B1D"/>
    <w:rsid w:val="000573E2"/>
    <w:rsid w:val="0006131B"/>
    <w:rsid w:val="000627BD"/>
    <w:rsid w:val="00073535"/>
    <w:rsid w:val="00073B6D"/>
    <w:rsid w:val="0007542C"/>
    <w:rsid w:val="00080623"/>
    <w:rsid w:val="0008171D"/>
    <w:rsid w:val="00083223"/>
    <w:rsid w:val="000836C9"/>
    <w:rsid w:val="00083938"/>
    <w:rsid w:val="000937FC"/>
    <w:rsid w:val="00093915"/>
    <w:rsid w:val="00094865"/>
    <w:rsid w:val="00096631"/>
    <w:rsid w:val="000A0A78"/>
    <w:rsid w:val="000A10C3"/>
    <w:rsid w:val="000A1A67"/>
    <w:rsid w:val="000A35E8"/>
    <w:rsid w:val="000B4C19"/>
    <w:rsid w:val="000B4F84"/>
    <w:rsid w:val="000B7BB1"/>
    <w:rsid w:val="000C16A4"/>
    <w:rsid w:val="000C2C8A"/>
    <w:rsid w:val="000D02D1"/>
    <w:rsid w:val="000E3300"/>
    <w:rsid w:val="000E63AA"/>
    <w:rsid w:val="000F0844"/>
    <w:rsid w:val="00102F31"/>
    <w:rsid w:val="00103291"/>
    <w:rsid w:val="001054A4"/>
    <w:rsid w:val="001124E5"/>
    <w:rsid w:val="00122395"/>
    <w:rsid w:val="00122B14"/>
    <w:rsid w:val="00133871"/>
    <w:rsid w:val="00134ECE"/>
    <w:rsid w:val="0014373C"/>
    <w:rsid w:val="0015726F"/>
    <w:rsid w:val="00162472"/>
    <w:rsid w:val="001631FD"/>
    <w:rsid w:val="00171DD1"/>
    <w:rsid w:val="00172156"/>
    <w:rsid w:val="00175134"/>
    <w:rsid w:val="00180CD9"/>
    <w:rsid w:val="0018708E"/>
    <w:rsid w:val="00194B29"/>
    <w:rsid w:val="00194D52"/>
    <w:rsid w:val="001A1F47"/>
    <w:rsid w:val="001A55AA"/>
    <w:rsid w:val="001A6D27"/>
    <w:rsid w:val="001B447A"/>
    <w:rsid w:val="001B4B9F"/>
    <w:rsid w:val="001B50B6"/>
    <w:rsid w:val="001C78CC"/>
    <w:rsid w:val="001D1BE4"/>
    <w:rsid w:val="001E0340"/>
    <w:rsid w:val="001E7E23"/>
    <w:rsid w:val="001F12C9"/>
    <w:rsid w:val="00200298"/>
    <w:rsid w:val="00204371"/>
    <w:rsid w:val="00205A98"/>
    <w:rsid w:val="00213152"/>
    <w:rsid w:val="0022137E"/>
    <w:rsid w:val="00227F2E"/>
    <w:rsid w:val="00233477"/>
    <w:rsid w:val="002334D9"/>
    <w:rsid w:val="002355A2"/>
    <w:rsid w:val="002365F9"/>
    <w:rsid w:val="002410F0"/>
    <w:rsid w:val="0024728B"/>
    <w:rsid w:val="00250D4A"/>
    <w:rsid w:val="0026080F"/>
    <w:rsid w:val="002777E7"/>
    <w:rsid w:val="00287590"/>
    <w:rsid w:val="00291823"/>
    <w:rsid w:val="002943DE"/>
    <w:rsid w:val="002A0D0D"/>
    <w:rsid w:val="002A1028"/>
    <w:rsid w:val="002B0641"/>
    <w:rsid w:val="002B0970"/>
    <w:rsid w:val="002B477F"/>
    <w:rsid w:val="002B71FE"/>
    <w:rsid w:val="002B7866"/>
    <w:rsid w:val="002C089A"/>
    <w:rsid w:val="002C08AE"/>
    <w:rsid w:val="002C27A0"/>
    <w:rsid w:val="002D1979"/>
    <w:rsid w:val="002D3A2C"/>
    <w:rsid w:val="002D624F"/>
    <w:rsid w:val="002F3037"/>
    <w:rsid w:val="002F387F"/>
    <w:rsid w:val="003002CA"/>
    <w:rsid w:val="00305544"/>
    <w:rsid w:val="00305C99"/>
    <w:rsid w:val="00305CF6"/>
    <w:rsid w:val="003132B7"/>
    <w:rsid w:val="0031505B"/>
    <w:rsid w:val="003167EB"/>
    <w:rsid w:val="00326EA7"/>
    <w:rsid w:val="00327CDE"/>
    <w:rsid w:val="00331B28"/>
    <w:rsid w:val="00331B65"/>
    <w:rsid w:val="0033261F"/>
    <w:rsid w:val="00333BCB"/>
    <w:rsid w:val="00333FBD"/>
    <w:rsid w:val="003354BB"/>
    <w:rsid w:val="003378DF"/>
    <w:rsid w:val="003416A3"/>
    <w:rsid w:val="00345467"/>
    <w:rsid w:val="00354C5A"/>
    <w:rsid w:val="00362064"/>
    <w:rsid w:val="00362F86"/>
    <w:rsid w:val="0037155A"/>
    <w:rsid w:val="00373F4F"/>
    <w:rsid w:val="00376211"/>
    <w:rsid w:val="003874A1"/>
    <w:rsid w:val="003A395E"/>
    <w:rsid w:val="003A63A8"/>
    <w:rsid w:val="003B11C5"/>
    <w:rsid w:val="003B2266"/>
    <w:rsid w:val="003B4734"/>
    <w:rsid w:val="003B6753"/>
    <w:rsid w:val="003C05B7"/>
    <w:rsid w:val="003C3037"/>
    <w:rsid w:val="003C3869"/>
    <w:rsid w:val="003C3E8A"/>
    <w:rsid w:val="003C4ED2"/>
    <w:rsid w:val="003C7215"/>
    <w:rsid w:val="003C7B73"/>
    <w:rsid w:val="003D0397"/>
    <w:rsid w:val="003D0420"/>
    <w:rsid w:val="003D114A"/>
    <w:rsid w:val="003D3E60"/>
    <w:rsid w:val="003E18E3"/>
    <w:rsid w:val="003E53CF"/>
    <w:rsid w:val="003E5719"/>
    <w:rsid w:val="003E65BF"/>
    <w:rsid w:val="003E6D02"/>
    <w:rsid w:val="003E6F1A"/>
    <w:rsid w:val="003F0C15"/>
    <w:rsid w:val="003F395C"/>
    <w:rsid w:val="00402656"/>
    <w:rsid w:val="004145B0"/>
    <w:rsid w:val="0041517F"/>
    <w:rsid w:val="00425B1A"/>
    <w:rsid w:val="004337CB"/>
    <w:rsid w:val="004371EF"/>
    <w:rsid w:val="00444186"/>
    <w:rsid w:val="00446907"/>
    <w:rsid w:val="004527E9"/>
    <w:rsid w:val="004537EB"/>
    <w:rsid w:val="00455BAD"/>
    <w:rsid w:val="00460E95"/>
    <w:rsid w:val="0046276B"/>
    <w:rsid w:val="0047204F"/>
    <w:rsid w:val="00472EEA"/>
    <w:rsid w:val="0047419E"/>
    <w:rsid w:val="00481664"/>
    <w:rsid w:val="004831FE"/>
    <w:rsid w:val="00486E1A"/>
    <w:rsid w:val="00496CE7"/>
    <w:rsid w:val="004970FA"/>
    <w:rsid w:val="004B161F"/>
    <w:rsid w:val="004B2AE9"/>
    <w:rsid w:val="004B5B0B"/>
    <w:rsid w:val="004C6F26"/>
    <w:rsid w:val="004D1304"/>
    <w:rsid w:val="004E10BE"/>
    <w:rsid w:val="004E285F"/>
    <w:rsid w:val="0050041F"/>
    <w:rsid w:val="0050466C"/>
    <w:rsid w:val="00515414"/>
    <w:rsid w:val="005168B2"/>
    <w:rsid w:val="005200C6"/>
    <w:rsid w:val="00521405"/>
    <w:rsid w:val="00525673"/>
    <w:rsid w:val="00536AE2"/>
    <w:rsid w:val="005456AD"/>
    <w:rsid w:val="0054591C"/>
    <w:rsid w:val="00586DEC"/>
    <w:rsid w:val="00592EA2"/>
    <w:rsid w:val="005946E0"/>
    <w:rsid w:val="0059484F"/>
    <w:rsid w:val="00596406"/>
    <w:rsid w:val="005B6CB0"/>
    <w:rsid w:val="005C452F"/>
    <w:rsid w:val="005C462B"/>
    <w:rsid w:val="005D2A3C"/>
    <w:rsid w:val="005E54F6"/>
    <w:rsid w:val="005E688B"/>
    <w:rsid w:val="005F0ECA"/>
    <w:rsid w:val="005F53C1"/>
    <w:rsid w:val="005F7596"/>
    <w:rsid w:val="00604278"/>
    <w:rsid w:val="00605A19"/>
    <w:rsid w:val="00610C9C"/>
    <w:rsid w:val="00610D5D"/>
    <w:rsid w:val="00613AE8"/>
    <w:rsid w:val="00617AD9"/>
    <w:rsid w:val="006250C7"/>
    <w:rsid w:val="00625FF3"/>
    <w:rsid w:val="00630F24"/>
    <w:rsid w:val="00636556"/>
    <w:rsid w:val="006425ED"/>
    <w:rsid w:val="006503C6"/>
    <w:rsid w:val="006603F1"/>
    <w:rsid w:val="0066434F"/>
    <w:rsid w:val="00670C8A"/>
    <w:rsid w:val="00671B7B"/>
    <w:rsid w:val="00693DA8"/>
    <w:rsid w:val="00694D1A"/>
    <w:rsid w:val="006A7332"/>
    <w:rsid w:val="006C0329"/>
    <w:rsid w:val="006C5BE2"/>
    <w:rsid w:val="006C5CFB"/>
    <w:rsid w:val="006C72FF"/>
    <w:rsid w:val="006D32BB"/>
    <w:rsid w:val="006D385D"/>
    <w:rsid w:val="006D52A5"/>
    <w:rsid w:val="006D7E30"/>
    <w:rsid w:val="006E0A51"/>
    <w:rsid w:val="006E1896"/>
    <w:rsid w:val="006E3525"/>
    <w:rsid w:val="006E391D"/>
    <w:rsid w:val="006E4C61"/>
    <w:rsid w:val="00711FCB"/>
    <w:rsid w:val="00725C81"/>
    <w:rsid w:val="00731451"/>
    <w:rsid w:val="00737201"/>
    <w:rsid w:val="007530AA"/>
    <w:rsid w:val="007542FF"/>
    <w:rsid w:val="00766E13"/>
    <w:rsid w:val="00771B2F"/>
    <w:rsid w:val="00771D89"/>
    <w:rsid w:val="00774EBA"/>
    <w:rsid w:val="00784E24"/>
    <w:rsid w:val="00790128"/>
    <w:rsid w:val="00790B50"/>
    <w:rsid w:val="007978A7"/>
    <w:rsid w:val="007A5D66"/>
    <w:rsid w:val="007A7C35"/>
    <w:rsid w:val="007B3E9B"/>
    <w:rsid w:val="007B4619"/>
    <w:rsid w:val="007C03CF"/>
    <w:rsid w:val="007C41FC"/>
    <w:rsid w:val="007C4568"/>
    <w:rsid w:val="007D7B47"/>
    <w:rsid w:val="007E5564"/>
    <w:rsid w:val="007E59D6"/>
    <w:rsid w:val="007E6F94"/>
    <w:rsid w:val="007F0DBE"/>
    <w:rsid w:val="007F3DCE"/>
    <w:rsid w:val="007F6DDD"/>
    <w:rsid w:val="00800E52"/>
    <w:rsid w:val="00803592"/>
    <w:rsid w:val="0080416A"/>
    <w:rsid w:val="0080623A"/>
    <w:rsid w:val="00811666"/>
    <w:rsid w:val="00820124"/>
    <w:rsid w:val="0082346E"/>
    <w:rsid w:val="008247A3"/>
    <w:rsid w:val="00826BD4"/>
    <w:rsid w:val="0083461A"/>
    <w:rsid w:val="00844F3F"/>
    <w:rsid w:val="008553A4"/>
    <w:rsid w:val="008553A8"/>
    <w:rsid w:val="00857DF9"/>
    <w:rsid w:val="008607DD"/>
    <w:rsid w:val="008626C7"/>
    <w:rsid w:val="00863593"/>
    <w:rsid w:val="00864C4A"/>
    <w:rsid w:val="008734C7"/>
    <w:rsid w:val="00882BAD"/>
    <w:rsid w:val="00893C80"/>
    <w:rsid w:val="00894038"/>
    <w:rsid w:val="008A0C82"/>
    <w:rsid w:val="008A58EC"/>
    <w:rsid w:val="008B4560"/>
    <w:rsid w:val="008C2C56"/>
    <w:rsid w:val="008D46A9"/>
    <w:rsid w:val="008D6C19"/>
    <w:rsid w:val="008D7ADF"/>
    <w:rsid w:val="008E067F"/>
    <w:rsid w:val="00900C37"/>
    <w:rsid w:val="00907D64"/>
    <w:rsid w:val="00910B85"/>
    <w:rsid w:val="009172FD"/>
    <w:rsid w:val="009220B0"/>
    <w:rsid w:val="0092703D"/>
    <w:rsid w:val="00936429"/>
    <w:rsid w:val="009419A6"/>
    <w:rsid w:val="00943F71"/>
    <w:rsid w:val="00952D30"/>
    <w:rsid w:val="009556A6"/>
    <w:rsid w:val="00957EB5"/>
    <w:rsid w:val="00962B50"/>
    <w:rsid w:val="0096718F"/>
    <w:rsid w:val="00972020"/>
    <w:rsid w:val="0097282B"/>
    <w:rsid w:val="00977367"/>
    <w:rsid w:val="00981FFD"/>
    <w:rsid w:val="00997CFD"/>
    <w:rsid w:val="009A4E49"/>
    <w:rsid w:val="009A658D"/>
    <w:rsid w:val="009B4E04"/>
    <w:rsid w:val="009C15AE"/>
    <w:rsid w:val="009C27B5"/>
    <w:rsid w:val="009C3220"/>
    <w:rsid w:val="009C6AD6"/>
    <w:rsid w:val="009C6BA9"/>
    <w:rsid w:val="009D058B"/>
    <w:rsid w:val="009D1545"/>
    <w:rsid w:val="009D213E"/>
    <w:rsid w:val="009D4B03"/>
    <w:rsid w:val="009D596D"/>
    <w:rsid w:val="009D6764"/>
    <w:rsid w:val="009D7CFD"/>
    <w:rsid w:val="009E1F87"/>
    <w:rsid w:val="009E363D"/>
    <w:rsid w:val="009F377C"/>
    <w:rsid w:val="009F61DF"/>
    <w:rsid w:val="00A04227"/>
    <w:rsid w:val="00A06AB4"/>
    <w:rsid w:val="00A070F1"/>
    <w:rsid w:val="00A11FF2"/>
    <w:rsid w:val="00A21F98"/>
    <w:rsid w:val="00A2231B"/>
    <w:rsid w:val="00A35354"/>
    <w:rsid w:val="00A403C2"/>
    <w:rsid w:val="00A42321"/>
    <w:rsid w:val="00A42BB7"/>
    <w:rsid w:val="00A43DAB"/>
    <w:rsid w:val="00A44CAD"/>
    <w:rsid w:val="00A45720"/>
    <w:rsid w:val="00A6374A"/>
    <w:rsid w:val="00A66D13"/>
    <w:rsid w:val="00A7390F"/>
    <w:rsid w:val="00A8603A"/>
    <w:rsid w:val="00A86674"/>
    <w:rsid w:val="00A869C0"/>
    <w:rsid w:val="00A87703"/>
    <w:rsid w:val="00A941BD"/>
    <w:rsid w:val="00A96637"/>
    <w:rsid w:val="00AA6790"/>
    <w:rsid w:val="00AB0B31"/>
    <w:rsid w:val="00AB4EC6"/>
    <w:rsid w:val="00AC4753"/>
    <w:rsid w:val="00AC7FDE"/>
    <w:rsid w:val="00AD2068"/>
    <w:rsid w:val="00AD6BE2"/>
    <w:rsid w:val="00AE1765"/>
    <w:rsid w:val="00AE3569"/>
    <w:rsid w:val="00AE3AF0"/>
    <w:rsid w:val="00AE62B9"/>
    <w:rsid w:val="00AF1704"/>
    <w:rsid w:val="00AF61E2"/>
    <w:rsid w:val="00B15715"/>
    <w:rsid w:val="00B17B76"/>
    <w:rsid w:val="00B21611"/>
    <w:rsid w:val="00B25BBF"/>
    <w:rsid w:val="00B27B9E"/>
    <w:rsid w:val="00B31384"/>
    <w:rsid w:val="00B36057"/>
    <w:rsid w:val="00B36B26"/>
    <w:rsid w:val="00B377BE"/>
    <w:rsid w:val="00B4057F"/>
    <w:rsid w:val="00B43064"/>
    <w:rsid w:val="00B449D1"/>
    <w:rsid w:val="00B453A9"/>
    <w:rsid w:val="00B515BA"/>
    <w:rsid w:val="00B56688"/>
    <w:rsid w:val="00B612D3"/>
    <w:rsid w:val="00B63251"/>
    <w:rsid w:val="00B63E54"/>
    <w:rsid w:val="00B648BF"/>
    <w:rsid w:val="00B6773D"/>
    <w:rsid w:val="00B71CAC"/>
    <w:rsid w:val="00B720B8"/>
    <w:rsid w:val="00B73DDB"/>
    <w:rsid w:val="00B76801"/>
    <w:rsid w:val="00B811EA"/>
    <w:rsid w:val="00B87456"/>
    <w:rsid w:val="00BA0E1D"/>
    <w:rsid w:val="00BA2786"/>
    <w:rsid w:val="00BA4BDB"/>
    <w:rsid w:val="00BB1D9C"/>
    <w:rsid w:val="00BB3705"/>
    <w:rsid w:val="00BD08B7"/>
    <w:rsid w:val="00BD7A08"/>
    <w:rsid w:val="00BE3675"/>
    <w:rsid w:val="00BE4539"/>
    <w:rsid w:val="00BE65E6"/>
    <w:rsid w:val="00BF27B6"/>
    <w:rsid w:val="00BF6331"/>
    <w:rsid w:val="00C02829"/>
    <w:rsid w:val="00C04CB9"/>
    <w:rsid w:val="00C11A5A"/>
    <w:rsid w:val="00C128BE"/>
    <w:rsid w:val="00C27B03"/>
    <w:rsid w:val="00C27F29"/>
    <w:rsid w:val="00C31256"/>
    <w:rsid w:val="00C4198F"/>
    <w:rsid w:val="00C43489"/>
    <w:rsid w:val="00C512B3"/>
    <w:rsid w:val="00C54D5C"/>
    <w:rsid w:val="00C55D21"/>
    <w:rsid w:val="00C6132E"/>
    <w:rsid w:val="00C66542"/>
    <w:rsid w:val="00C67A8B"/>
    <w:rsid w:val="00C73671"/>
    <w:rsid w:val="00C76669"/>
    <w:rsid w:val="00C82A05"/>
    <w:rsid w:val="00C903EA"/>
    <w:rsid w:val="00C92630"/>
    <w:rsid w:val="00C949FF"/>
    <w:rsid w:val="00CA0F79"/>
    <w:rsid w:val="00CA0FD1"/>
    <w:rsid w:val="00CA6F46"/>
    <w:rsid w:val="00CA7DD7"/>
    <w:rsid w:val="00CB00D9"/>
    <w:rsid w:val="00CB5B06"/>
    <w:rsid w:val="00CC3AC5"/>
    <w:rsid w:val="00CD398C"/>
    <w:rsid w:val="00CE2614"/>
    <w:rsid w:val="00CE41B2"/>
    <w:rsid w:val="00CE7470"/>
    <w:rsid w:val="00CF13B3"/>
    <w:rsid w:val="00D05E27"/>
    <w:rsid w:val="00D06C38"/>
    <w:rsid w:val="00D12F6A"/>
    <w:rsid w:val="00D13E09"/>
    <w:rsid w:val="00D212C8"/>
    <w:rsid w:val="00D2137C"/>
    <w:rsid w:val="00D21483"/>
    <w:rsid w:val="00D31517"/>
    <w:rsid w:val="00D35944"/>
    <w:rsid w:val="00D36820"/>
    <w:rsid w:val="00D36CFF"/>
    <w:rsid w:val="00D42E97"/>
    <w:rsid w:val="00D43A15"/>
    <w:rsid w:val="00D44319"/>
    <w:rsid w:val="00D538DF"/>
    <w:rsid w:val="00D55466"/>
    <w:rsid w:val="00D5790B"/>
    <w:rsid w:val="00D6114F"/>
    <w:rsid w:val="00D65BB9"/>
    <w:rsid w:val="00D70694"/>
    <w:rsid w:val="00D711DA"/>
    <w:rsid w:val="00D734DE"/>
    <w:rsid w:val="00D861F7"/>
    <w:rsid w:val="00D873A0"/>
    <w:rsid w:val="00D90D08"/>
    <w:rsid w:val="00D90D0E"/>
    <w:rsid w:val="00D95960"/>
    <w:rsid w:val="00D966DD"/>
    <w:rsid w:val="00DA09DD"/>
    <w:rsid w:val="00DA10BB"/>
    <w:rsid w:val="00DA55E1"/>
    <w:rsid w:val="00DD1AAD"/>
    <w:rsid w:val="00DE06E7"/>
    <w:rsid w:val="00DE4B02"/>
    <w:rsid w:val="00DF5007"/>
    <w:rsid w:val="00E0349C"/>
    <w:rsid w:val="00E117E0"/>
    <w:rsid w:val="00E12FF8"/>
    <w:rsid w:val="00E15540"/>
    <w:rsid w:val="00E1628B"/>
    <w:rsid w:val="00E20A3B"/>
    <w:rsid w:val="00E254FA"/>
    <w:rsid w:val="00E31F9F"/>
    <w:rsid w:val="00E441FC"/>
    <w:rsid w:val="00E44998"/>
    <w:rsid w:val="00E45CF2"/>
    <w:rsid w:val="00E50644"/>
    <w:rsid w:val="00E54D98"/>
    <w:rsid w:val="00E61870"/>
    <w:rsid w:val="00E665C8"/>
    <w:rsid w:val="00E675F6"/>
    <w:rsid w:val="00E700F0"/>
    <w:rsid w:val="00E70830"/>
    <w:rsid w:val="00E70E81"/>
    <w:rsid w:val="00E82D91"/>
    <w:rsid w:val="00E864A5"/>
    <w:rsid w:val="00E9062A"/>
    <w:rsid w:val="00E94107"/>
    <w:rsid w:val="00E96470"/>
    <w:rsid w:val="00EA01F8"/>
    <w:rsid w:val="00EA4A7B"/>
    <w:rsid w:val="00EE004C"/>
    <w:rsid w:val="00EE3745"/>
    <w:rsid w:val="00EE693C"/>
    <w:rsid w:val="00EF4BB4"/>
    <w:rsid w:val="00EF505D"/>
    <w:rsid w:val="00EF7FE3"/>
    <w:rsid w:val="00F01616"/>
    <w:rsid w:val="00F01B46"/>
    <w:rsid w:val="00F03D17"/>
    <w:rsid w:val="00F11906"/>
    <w:rsid w:val="00F11D93"/>
    <w:rsid w:val="00F1656B"/>
    <w:rsid w:val="00F171BA"/>
    <w:rsid w:val="00F25EF4"/>
    <w:rsid w:val="00F3373E"/>
    <w:rsid w:val="00F33918"/>
    <w:rsid w:val="00F34CB8"/>
    <w:rsid w:val="00F4621C"/>
    <w:rsid w:val="00F52389"/>
    <w:rsid w:val="00F52421"/>
    <w:rsid w:val="00F53B69"/>
    <w:rsid w:val="00F54E37"/>
    <w:rsid w:val="00F55406"/>
    <w:rsid w:val="00F55681"/>
    <w:rsid w:val="00F55856"/>
    <w:rsid w:val="00F62DBF"/>
    <w:rsid w:val="00F674CB"/>
    <w:rsid w:val="00F763B1"/>
    <w:rsid w:val="00F771C3"/>
    <w:rsid w:val="00F775D2"/>
    <w:rsid w:val="00F81732"/>
    <w:rsid w:val="00F828A6"/>
    <w:rsid w:val="00F84213"/>
    <w:rsid w:val="00F934D8"/>
    <w:rsid w:val="00F96321"/>
    <w:rsid w:val="00FA2B6B"/>
    <w:rsid w:val="00FA2FEE"/>
    <w:rsid w:val="00FA654E"/>
    <w:rsid w:val="00FB04BF"/>
    <w:rsid w:val="00FB4439"/>
    <w:rsid w:val="00FB539D"/>
    <w:rsid w:val="00FC1861"/>
    <w:rsid w:val="00FC7AD6"/>
    <w:rsid w:val="00FD2006"/>
    <w:rsid w:val="00FE06D0"/>
    <w:rsid w:val="00FE546C"/>
    <w:rsid w:val="00FF00F9"/>
    <w:rsid w:val="00FF0DE7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7B10A5-8FF3-422B-B459-0DC02BD0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54E37"/>
  </w:style>
  <w:style w:type="paragraph" w:styleId="Piedepgina">
    <w:name w:val="footer"/>
    <w:basedOn w:val="Normal"/>
    <w:link w:val="Piedepgina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E37"/>
  </w:style>
  <w:style w:type="paragraph" w:styleId="Textodeglobo">
    <w:name w:val="Balloon Text"/>
    <w:basedOn w:val="Normal"/>
    <w:link w:val="TextodegloboCar"/>
    <w:uiPriority w:val="99"/>
    <w:semiHidden/>
    <w:unhideWhenUsed/>
    <w:rsid w:val="00F5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6E7"/>
    <w:pPr>
      <w:ind w:left="720"/>
      <w:contextualSpacing/>
    </w:pPr>
  </w:style>
  <w:style w:type="paragraph" w:customStyle="1" w:styleId="Default">
    <w:name w:val="Default"/>
    <w:rsid w:val="003B11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0F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0F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0F24"/>
    <w:rPr>
      <w:vertAlign w:val="superscript"/>
    </w:rPr>
  </w:style>
  <w:style w:type="table" w:styleId="Tablaconcuadrcula">
    <w:name w:val="Table Grid"/>
    <w:basedOn w:val="Tablanormal"/>
    <w:rsid w:val="00D90D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6D7E3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073535"/>
    <w:rPr>
      <w:color w:val="21798E"/>
    </w:rPr>
    <w:tblPr>
      <w:tblStyleRowBandSize w:val="1"/>
      <w:tblStyleColBandSize w:val="1"/>
      <w:tblBorders>
        <w:top w:val="single" w:sz="8" w:space="0" w:color="2DA2BF"/>
        <w:bottom w:val="single" w:sz="8" w:space="0" w:color="2DA2B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</w:style>
  <w:style w:type="table" w:styleId="Sombreadoclaro-nfasis4">
    <w:name w:val="Light Shading Accent 4"/>
    <w:basedOn w:val="Tablanormal"/>
    <w:uiPriority w:val="60"/>
    <w:rsid w:val="0047419E"/>
    <w:rPr>
      <w:color w:val="2A4975"/>
    </w:rPr>
    <w:tblPr>
      <w:tblStyleRowBandSize w:val="1"/>
      <w:tblStyleColBandSize w:val="1"/>
      <w:tblBorders>
        <w:top w:val="single" w:sz="8" w:space="0" w:color="39639D"/>
        <w:bottom w:val="single" w:sz="8" w:space="0" w:color="3963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</w:style>
  <w:style w:type="character" w:styleId="Hipervnculo">
    <w:name w:val="Hyperlink"/>
    <w:basedOn w:val="Fuentedeprrafopredeter"/>
    <w:uiPriority w:val="99"/>
    <w:unhideWhenUsed/>
    <w:rsid w:val="00C92630"/>
    <w:rPr>
      <w:color w:val="0000FF" w:themeColor="hyperlink"/>
      <w:u w:val="single"/>
    </w:rPr>
  </w:style>
  <w:style w:type="table" w:styleId="Listavistosa-nfasis1">
    <w:name w:val="Colorful List Accent 1"/>
    <w:basedOn w:val="Tablanormal"/>
    <w:uiPriority w:val="72"/>
    <w:rsid w:val="000456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BE45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customStyle="1" w:styleId="Listaclara-nfasis12">
    <w:name w:val="Lista clara - Énfasis 12"/>
    <w:basedOn w:val="Tablanormal"/>
    <w:uiPriority w:val="61"/>
    <w:rsid w:val="005E54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FA2FE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EA4A7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7346B-E9F2-4C47-A649-789DA9EEB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762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financiera</vt:lpstr>
    </vt:vector>
  </TitlesOfParts>
  <Company>Toshiba</Company>
  <LinksUpToDate>false</LinksUpToDate>
  <CharactersWithSpaces>4950</CharactersWithSpaces>
  <SharedDoc>false</SharedDoc>
  <HLinks>
    <vt:vector size="12" baseType="variant">
      <vt:variant>
        <vt:i4>1835022</vt:i4>
      </vt:variant>
      <vt:variant>
        <vt:i4>29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pasivos</vt:lpwstr>
      </vt:variant>
      <vt:variant>
        <vt:i4>1966104</vt:i4>
      </vt:variant>
      <vt:variant>
        <vt:i4>26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activos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</dc:title>
  <dc:creator>Michel Marcos García Badillo</dc:creator>
  <cp:lastModifiedBy>VERONICA AGUSTIN</cp:lastModifiedBy>
  <cp:revision>16</cp:revision>
  <cp:lastPrinted>2011-11-15T17:41:00Z</cp:lastPrinted>
  <dcterms:created xsi:type="dcterms:W3CDTF">2017-10-09T13:10:00Z</dcterms:created>
  <dcterms:modified xsi:type="dcterms:W3CDTF">2017-10-12T13:13:00Z</dcterms:modified>
</cp:coreProperties>
</file>