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800" w:rsidRDefault="00602800" w:rsidP="00602800">
      <w:pPr>
        <w:jc w:val="center"/>
        <w:rPr>
          <w:rFonts w:ascii="Arial" w:hAnsi="Arial" w:cs="Arial"/>
          <w:sz w:val="52"/>
          <w:szCs w:val="48"/>
        </w:rPr>
      </w:pPr>
      <w:r>
        <w:rPr>
          <w:noProof/>
        </w:rPr>
        <w:drawing>
          <wp:anchor distT="0" distB="0" distL="114300" distR="114300" simplePos="0" relativeHeight="251659264" behindDoc="1" locked="0" layoutInCell="1" allowOverlap="1">
            <wp:simplePos x="0" y="0"/>
            <wp:positionH relativeFrom="margin">
              <wp:posOffset>-257175</wp:posOffset>
            </wp:positionH>
            <wp:positionV relativeFrom="paragraph">
              <wp:posOffset>-158750</wp:posOffset>
            </wp:positionV>
            <wp:extent cx="845185" cy="1356360"/>
            <wp:effectExtent l="0" t="0" r="0" b="0"/>
            <wp:wrapNone/>
            <wp:docPr id="2" name="Imagen 2"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estudiarmaestriasenlinea.com/wp-content/uploads/2014/06/maestrias-del-ipn-por-interne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5185" cy="13563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5116195</wp:posOffset>
            </wp:positionH>
            <wp:positionV relativeFrom="paragraph">
              <wp:posOffset>-195580</wp:posOffset>
            </wp:positionV>
            <wp:extent cx="1250950" cy="1250950"/>
            <wp:effectExtent l="0" t="0" r="6350" b="0"/>
            <wp:wrapNone/>
            <wp:docPr id="1" name="Imagen 1" descr="https://pbs.twimg.com/profile_images/1423089146/escom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pbs.twimg.com/profile_images/1423089146/escom_400x4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52"/>
          <w:szCs w:val="48"/>
        </w:rPr>
        <w:t>Instituto Politécnico Nacional</w:t>
      </w:r>
    </w:p>
    <w:p w:rsidR="00602800" w:rsidRDefault="00602800" w:rsidP="00602800">
      <w:pPr>
        <w:spacing w:after="200" w:line="276" w:lineRule="auto"/>
        <w:jc w:val="center"/>
        <w:rPr>
          <w:rFonts w:ascii="Arial" w:hAnsi="Arial" w:cs="Arial"/>
          <w:sz w:val="48"/>
          <w:szCs w:val="48"/>
        </w:rPr>
      </w:pPr>
      <w:r>
        <w:rPr>
          <w:rFonts w:ascii="Arial" w:hAnsi="Arial" w:cs="Arial"/>
          <w:sz w:val="48"/>
          <w:szCs w:val="48"/>
        </w:rPr>
        <w:t>Escuela Superior de Cómputo</w:t>
      </w:r>
    </w:p>
    <w:p w:rsidR="00602800" w:rsidRDefault="00602800" w:rsidP="00602800">
      <w:pPr>
        <w:jc w:val="center"/>
        <w:rPr>
          <w:rFonts w:ascii="Arial" w:hAnsi="Arial" w:cs="Arial"/>
          <w:sz w:val="36"/>
          <w:szCs w:val="36"/>
        </w:rPr>
      </w:pPr>
    </w:p>
    <w:p w:rsidR="00602800" w:rsidRDefault="00602800" w:rsidP="00602800">
      <w:pPr>
        <w:jc w:val="center"/>
        <w:rPr>
          <w:rFonts w:ascii="Arial" w:hAnsi="Arial" w:cs="Arial"/>
          <w:sz w:val="36"/>
          <w:szCs w:val="36"/>
        </w:rPr>
      </w:pPr>
    </w:p>
    <w:p w:rsidR="00602800" w:rsidRDefault="003913E7" w:rsidP="00602800">
      <w:pPr>
        <w:spacing w:after="200" w:line="276" w:lineRule="auto"/>
        <w:jc w:val="center"/>
        <w:rPr>
          <w:rFonts w:ascii="Arial" w:hAnsi="Arial" w:cs="Arial"/>
          <w:sz w:val="56"/>
          <w:szCs w:val="56"/>
        </w:rPr>
      </w:pPr>
      <w:r>
        <w:rPr>
          <w:rFonts w:ascii="Arial" w:hAnsi="Arial" w:cs="Arial"/>
          <w:sz w:val="56"/>
          <w:szCs w:val="56"/>
        </w:rPr>
        <w:t>Bases</w:t>
      </w:r>
      <w:r w:rsidR="00602800">
        <w:rPr>
          <w:rFonts w:ascii="Arial" w:hAnsi="Arial" w:cs="Arial"/>
          <w:sz w:val="56"/>
          <w:szCs w:val="56"/>
        </w:rPr>
        <w:t xml:space="preserve"> de Datos</w:t>
      </w:r>
    </w:p>
    <w:p w:rsidR="00602800" w:rsidRDefault="00602800" w:rsidP="00602800">
      <w:pPr>
        <w:spacing w:after="200" w:line="276" w:lineRule="auto"/>
        <w:jc w:val="center"/>
        <w:rPr>
          <w:rFonts w:ascii="Arial" w:hAnsi="Arial" w:cs="Arial"/>
          <w:sz w:val="56"/>
          <w:szCs w:val="56"/>
        </w:rPr>
      </w:pPr>
    </w:p>
    <w:p w:rsidR="003913E7" w:rsidRDefault="006A46D0" w:rsidP="00602800">
      <w:pPr>
        <w:spacing w:after="200" w:line="276" w:lineRule="auto"/>
        <w:jc w:val="center"/>
        <w:rPr>
          <w:rFonts w:ascii="Arial" w:hAnsi="Arial" w:cs="Arial"/>
          <w:sz w:val="56"/>
          <w:szCs w:val="56"/>
        </w:rPr>
      </w:pPr>
      <w:r>
        <w:rPr>
          <w:rFonts w:ascii="Arial" w:hAnsi="Arial" w:cs="Arial"/>
          <w:sz w:val="56"/>
          <w:szCs w:val="56"/>
        </w:rPr>
        <w:t>Diagrama</w:t>
      </w:r>
    </w:p>
    <w:p w:rsidR="00602800" w:rsidRDefault="003913E7" w:rsidP="00602800">
      <w:pPr>
        <w:spacing w:after="200" w:line="276" w:lineRule="auto"/>
        <w:jc w:val="center"/>
        <w:rPr>
          <w:rFonts w:ascii="Arial" w:hAnsi="Arial" w:cs="Arial"/>
          <w:sz w:val="56"/>
          <w:szCs w:val="56"/>
        </w:rPr>
      </w:pPr>
      <w:r>
        <w:rPr>
          <w:rFonts w:ascii="Arial" w:hAnsi="Arial" w:cs="Arial"/>
          <w:sz w:val="56"/>
          <w:szCs w:val="56"/>
        </w:rPr>
        <w:t>Entidad-Relación Extendido</w:t>
      </w:r>
    </w:p>
    <w:p w:rsidR="00602800" w:rsidRDefault="00602800" w:rsidP="00602800">
      <w:pPr>
        <w:spacing w:after="200" w:line="276" w:lineRule="auto"/>
        <w:jc w:val="center"/>
        <w:rPr>
          <w:rFonts w:ascii="Arial" w:hAnsi="Arial" w:cs="Arial"/>
          <w:sz w:val="56"/>
          <w:szCs w:val="56"/>
        </w:rPr>
      </w:pPr>
    </w:p>
    <w:p w:rsidR="00602800" w:rsidRDefault="00602800" w:rsidP="00602800">
      <w:pPr>
        <w:spacing w:after="200" w:line="276" w:lineRule="auto"/>
        <w:rPr>
          <w:rFonts w:ascii="Arial" w:hAnsi="Arial" w:cs="Arial"/>
          <w:sz w:val="36"/>
          <w:szCs w:val="36"/>
        </w:rPr>
      </w:pPr>
      <w:r>
        <w:rPr>
          <w:rFonts w:ascii="Arial" w:hAnsi="Arial" w:cs="Arial"/>
          <w:sz w:val="36"/>
          <w:szCs w:val="36"/>
        </w:rPr>
        <w:t>Profesor: Euler Hernández Contreras</w:t>
      </w:r>
    </w:p>
    <w:p w:rsidR="00602800" w:rsidRPr="00602800" w:rsidRDefault="00602800" w:rsidP="00602800">
      <w:pPr>
        <w:spacing w:after="200" w:line="276" w:lineRule="auto"/>
        <w:rPr>
          <w:rFonts w:ascii="Arial" w:hAnsi="Arial" w:cs="Arial"/>
          <w:sz w:val="36"/>
          <w:szCs w:val="36"/>
        </w:rPr>
      </w:pPr>
      <w:r>
        <w:rPr>
          <w:rFonts w:ascii="Arial" w:hAnsi="Arial" w:cs="Arial"/>
          <w:sz w:val="36"/>
          <w:szCs w:val="36"/>
        </w:rPr>
        <w:t xml:space="preserve">Alumno: </w:t>
      </w:r>
      <w:r w:rsidRPr="00602800">
        <w:rPr>
          <w:rFonts w:ascii="Arial" w:hAnsi="Arial" w:cs="Arial"/>
          <w:sz w:val="36"/>
          <w:szCs w:val="36"/>
        </w:rPr>
        <w:t>Calva Hernández José Manuel</w:t>
      </w:r>
    </w:p>
    <w:p w:rsidR="00602800" w:rsidRDefault="00602800" w:rsidP="00602800">
      <w:pPr>
        <w:spacing w:after="200" w:line="276" w:lineRule="auto"/>
        <w:rPr>
          <w:rFonts w:ascii="Arial" w:hAnsi="Arial" w:cs="Arial"/>
          <w:sz w:val="36"/>
          <w:szCs w:val="36"/>
        </w:rPr>
      </w:pPr>
      <w:r>
        <w:rPr>
          <w:rFonts w:ascii="Arial" w:hAnsi="Arial" w:cs="Arial"/>
          <w:sz w:val="36"/>
          <w:szCs w:val="36"/>
        </w:rPr>
        <w:t xml:space="preserve">Grupo: </w:t>
      </w:r>
      <w:r w:rsidR="006A46D0">
        <w:rPr>
          <w:rFonts w:ascii="Arial" w:hAnsi="Arial" w:cs="Arial"/>
          <w:sz w:val="36"/>
          <w:szCs w:val="36"/>
        </w:rPr>
        <w:t>2CM12</w:t>
      </w:r>
    </w:p>
    <w:p w:rsidR="00602800" w:rsidRDefault="00602800">
      <w:pPr>
        <w:spacing w:line="259" w:lineRule="auto"/>
      </w:pPr>
      <w:r>
        <w:br w:type="page"/>
      </w:r>
    </w:p>
    <w:bookmarkStart w:id="0" w:name="_Toc494134752" w:displacedByCustomXml="next"/>
    <w:sdt>
      <w:sdtPr>
        <w:rPr>
          <w:rFonts w:ascii="Arial" w:eastAsiaTheme="minorHAnsi" w:hAnsi="Arial" w:cs="Arial"/>
          <w:b/>
          <w:color w:val="auto"/>
          <w:sz w:val="28"/>
          <w:szCs w:val="28"/>
          <w:lang w:val="es-ES"/>
        </w:rPr>
        <w:id w:val="-1727909446"/>
        <w:docPartObj>
          <w:docPartGallery w:val="Table of Contents"/>
          <w:docPartUnique/>
        </w:docPartObj>
      </w:sdtPr>
      <w:sdtEndPr>
        <w:rPr>
          <w:b w:val="0"/>
          <w:sz w:val="24"/>
          <w:szCs w:val="24"/>
        </w:rPr>
      </w:sdtEndPr>
      <w:sdtContent>
        <w:p w:rsidR="005F7AE0" w:rsidRPr="00D12F9D" w:rsidRDefault="005F7AE0" w:rsidP="00D12F9D">
          <w:pPr>
            <w:pStyle w:val="Ttulo1"/>
            <w:jc w:val="both"/>
            <w:rPr>
              <w:rFonts w:ascii="Arial" w:hAnsi="Arial" w:cs="Arial"/>
              <w:b/>
              <w:sz w:val="28"/>
              <w:szCs w:val="28"/>
              <w:lang w:val="es-ES"/>
            </w:rPr>
          </w:pPr>
          <w:r w:rsidRPr="00D12F9D">
            <w:rPr>
              <w:rFonts w:ascii="Arial" w:hAnsi="Arial" w:cs="Arial"/>
              <w:b/>
              <w:sz w:val="28"/>
              <w:szCs w:val="28"/>
              <w:lang w:val="es-ES"/>
            </w:rPr>
            <w:t>Índic</w:t>
          </w:r>
          <w:bookmarkStart w:id="1" w:name="_GoBack"/>
          <w:bookmarkEnd w:id="1"/>
          <w:r w:rsidRPr="00D12F9D">
            <w:rPr>
              <w:rFonts w:ascii="Arial" w:hAnsi="Arial" w:cs="Arial"/>
              <w:b/>
              <w:sz w:val="28"/>
              <w:szCs w:val="28"/>
              <w:lang w:val="es-ES"/>
            </w:rPr>
            <w:t>e</w:t>
          </w:r>
          <w:bookmarkEnd w:id="0"/>
        </w:p>
        <w:p w:rsidR="005F7AE0" w:rsidRPr="00D12F9D" w:rsidRDefault="005F7AE0" w:rsidP="00D12F9D">
          <w:pPr>
            <w:jc w:val="both"/>
            <w:rPr>
              <w:rFonts w:ascii="Arial" w:hAnsi="Arial" w:cs="Arial"/>
              <w:sz w:val="24"/>
              <w:szCs w:val="24"/>
              <w:lang w:val="es-ES"/>
            </w:rPr>
          </w:pPr>
        </w:p>
        <w:p w:rsidR="00001930" w:rsidRDefault="00602800">
          <w:pPr>
            <w:pStyle w:val="TDC1"/>
            <w:tabs>
              <w:tab w:val="right" w:leader="dot" w:pos="8828"/>
            </w:tabs>
            <w:rPr>
              <w:noProof/>
            </w:rPr>
          </w:pPr>
          <w:r w:rsidRPr="00D12F9D">
            <w:rPr>
              <w:rFonts w:ascii="Arial" w:hAnsi="Arial" w:cs="Arial"/>
              <w:sz w:val="24"/>
              <w:szCs w:val="24"/>
            </w:rPr>
            <w:fldChar w:fldCharType="begin"/>
          </w:r>
          <w:r w:rsidRPr="00D12F9D">
            <w:rPr>
              <w:rFonts w:ascii="Arial" w:hAnsi="Arial" w:cs="Arial"/>
              <w:sz w:val="24"/>
              <w:szCs w:val="24"/>
            </w:rPr>
            <w:instrText xml:space="preserve"> TOC \o "1-3" \h \z \u </w:instrText>
          </w:r>
          <w:r w:rsidRPr="00D12F9D">
            <w:rPr>
              <w:rFonts w:ascii="Arial" w:hAnsi="Arial" w:cs="Arial"/>
              <w:sz w:val="24"/>
              <w:szCs w:val="24"/>
            </w:rPr>
            <w:fldChar w:fldCharType="separate"/>
          </w:r>
          <w:hyperlink w:anchor="_Toc494134752" w:history="1">
            <w:r w:rsidR="00001930" w:rsidRPr="001E132A">
              <w:rPr>
                <w:rStyle w:val="Hipervnculo"/>
                <w:rFonts w:ascii="Arial" w:hAnsi="Arial" w:cs="Arial"/>
                <w:noProof/>
                <w:lang w:val="es-ES"/>
              </w:rPr>
              <w:t>Índice</w:t>
            </w:r>
            <w:r w:rsidR="00001930">
              <w:rPr>
                <w:noProof/>
                <w:webHidden/>
              </w:rPr>
              <w:tab/>
            </w:r>
            <w:r w:rsidR="00001930">
              <w:rPr>
                <w:noProof/>
                <w:webHidden/>
              </w:rPr>
              <w:fldChar w:fldCharType="begin"/>
            </w:r>
            <w:r w:rsidR="00001930">
              <w:rPr>
                <w:noProof/>
                <w:webHidden/>
              </w:rPr>
              <w:instrText xml:space="preserve"> PAGEREF _Toc494134752 \h </w:instrText>
            </w:r>
            <w:r w:rsidR="00001930">
              <w:rPr>
                <w:noProof/>
                <w:webHidden/>
              </w:rPr>
            </w:r>
            <w:r w:rsidR="00001930">
              <w:rPr>
                <w:noProof/>
                <w:webHidden/>
              </w:rPr>
              <w:fldChar w:fldCharType="separate"/>
            </w:r>
            <w:r w:rsidR="00BD2C66">
              <w:rPr>
                <w:noProof/>
                <w:webHidden/>
              </w:rPr>
              <w:t>2</w:t>
            </w:r>
            <w:r w:rsidR="00001930">
              <w:rPr>
                <w:noProof/>
                <w:webHidden/>
              </w:rPr>
              <w:fldChar w:fldCharType="end"/>
            </w:r>
          </w:hyperlink>
        </w:p>
        <w:p w:rsidR="00001930" w:rsidRDefault="00001930">
          <w:pPr>
            <w:pStyle w:val="TDC1"/>
            <w:tabs>
              <w:tab w:val="right" w:leader="dot" w:pos="8828"/>
            </w:tabs>
            <w:rPr>
              <w:noProof/>
            </w:rPr>
          </w:pPr>
          <w:hyperlink w:anchor="_Toc494134753" w:history="1">
            <w:r w:rsidRPr="001E132A">
              <w:rPr>
                <w:rStyle w:val="Hipervnculo"/>
                <w:rFonts w:ascii="Arial" w:hAnsi="Arial" w:cs="Arial"/>
                <w:noProof/>
              </w:rPr>
              <w:t>Concepto</w:t>
            </w:r>
            <w:r>
              <w:rPr>
                <w:noProof/>
                <w:webHidden/>
              </w:rPr>
              <w:tab/>
            </w:r>
            <w:r>
              <w:rPr>
                <w:noProof/>
                <w:webHidden/>
              </w:rPr>
              <w:fldChar w:fldCharType="begin"/>
            </w:r>
            <w:r>
              <w:rPr>
                <w:noProof/>
                <w:webHidden/>
              </w:rPr>
              <w:instrText xml:space="preserve"> PAGEREF _Toc494134753 \h </w:instrText>
            </w:r>
            <w:r>
              <w:rPr>
                <w:noProof/>
                <w:webHidden/>
              </w:rPr>
            </w:r>
            <w:r>
              <w:rPr>
                <w:noProof/>
                <w:webHidden/>
              </w:rPr>
              <w:fldChar w:fldCharType="separate"/>
            </w:r>
            <w:r w:rsidR="00BD2C66">
              <w:rPr>
                <w:noProof/>
                <w:webHidden/>
              </w:rPr>
              <w:t>3</w:t>
            </w:r>
            <w:r>
              <w:rPr>
                <w:noProof/>
                <w:webHidden/>
              </w:rPr>
              <w:fldChar w:fldCharType="end"/>
            </w:r>
          </w:hyperlink>
        </w:p>
        <w:p w:rsidR="00001930" w:rsidRDefault="00001930">
          <w:pPr>
            <w:pStyle w:val="TDC1"/>
            <w:tabs>
              <w:tab w:val="right" w:leader="dot" w:pos="8828"/>
            </w:tabs>
            <w:rPr>
              <w:noProof/>
            </w:rPr>
          </w:pPr>
          <w:hyperlink w:anchor="_Toc494134754" w:history="1">
            <w:r w:rsidRPr="001E132A">
              <w:rPr>
                <w:rStyle w:val="Hipervnculo"/>
                <w:rFonts w:ascii="Arial" w:hAnsi="Arial" w:cs="Arial"/>
                <w:noProof/>
              </w:rPr>
              <w:t>Opciones</w:t>
            </w:r>
            <w:r>
              <w:rPr>
                <w:noProof/>
                <w:webHidden/>
              </w:rPr>
              <w:tab/>
            </w:r>
            <w:r>
              <w:rPr>
                <w:noProof/>
                <w:webHidden/>
              </w:rPr>
              <w:fldChar w:fldCharType="begin"/>
            </w:r>
            <w:r>
              <w:rPr>
                <w:noProof/>
                <w:webHidden/>
              </w:rPr>
              <w:instrText xml:space="preserve"> PAGEREF _Toc494134754 \h </w:instrText>
            </w:r>
            <w:r>
              <w:rPr>
                <w:noProof/>
                <w:webHidden/>
              </w:rPr>
            </w:r>
            <w:r>
              <w:rPr>
                <w:noProof/>
                <w:webHidden/>
              </w:rPr>
              <w:fldChar w:fldCharType="separate"/>
            </w:r>
            <w:r w:rsidR="00BD2C66">
              <w:rPr>
                <w:noProof/>
                <w:webHidden/>
              </w:rPr>
              <w:t>3</w:t>
            </w:r>
            <w:r>
              <w:rPr>
                <w:noProof/>
                <w:webHidden/>
              </w:rPr>
              <w:fldChar w:fldCharType="end"/>
            </w:r>
          </w:hyperlink>
        </w:p>
        <w:p w:rsidR="00001930" w:rsidRDefault="00001930">
          <w:pPr>
            <w:pStyle w:val="TDC2"/>
            <w:tabs>
              <w:tab w:val="right" w:leader="dot" w:pos="8828"/>
            </w:tabs>
            <w:rPr>
              <w:rFonts w:eastAsiaTheme="minorEastAsia"/>
              <w:noProof/>
              <w:lang w:eastAsia="es-MX"/>
            </w:rPr>
          </w:pPr>
          <w:hyperlink w:anchor="_Toc494134755" w:history="1">
            <w:r w:rsidRPr="001E132A">
              <w:rPr>
                <w:rStyle w:val="Hipervnculo"/>
                <w:rFonts w:ascii="Arial" w:hAnsi="Arial" w:cs="Arial"/>
                <w:noProof/>
              </w:rPr>
              <w:t>Especialización</w:t>
            </w:r>
            <w:r>
              <w:rPr>
                <w:noProof/>
                <w:webHidden/>
              </w:rPr>
              <w:tab/>
            </w:r>
            <w:r>
              <w:rPr>
                <w:noProof/>
                <w:webHidden/>
              </w:rPr>
              <w:fldChar w:fldCharType="begin"/>
            </w:r>
            <w:r>
              <w:rPr>
                <w:noProof/>
                <w:webHidden/>
              </w:rPr>
              <w:instrText xml:space="preserve"> PAGEREF _Toc494134755 \h </w:instrText>
            </w:r>
            <w:r>
              <w:rPr>
                <w:noProof/>
                <w:webHidden/>
              </w:rPr>
            </w:r>
            <w:r>
              <w:rPr>
                <w:noProof/>
                <w:webHidden/>
              </w:rPr>
              <w:fldChar w:fldCharType="separate"/>
            </w:r>
            <w:r w:rsidR="00BD2C66">
              <w:rPr>
                <w:noProof/>
                <w:webHidden/>
              </w:rPr>
              <w:t>3</w:t>
            </w:r>
            <w:r>
              <w:rPr>
                <w:noProof/>
                <w:webHidden/>
              </w:rPr>
              <w:fldChar w:fldCharType="end"/>
            </w:r>
          </w:hyperlink>
        </w:p>
        <w:p w:rsidR="00001930" w:rsidRDefault="00001930">
          <w:pPr>
            <w:pStyle w:val="TDC2"/>
            <w:tabs>
              <w:tab w:val="right" w:leader="dot" w:pos="8828"/>
            </w:tabs>
            <w:rPr>
              <w:rFonts w:eastAsiaTheme="minorEastAsia"/>
              <w:noProof/>
              <w:lang w:eastAsia="es-MX"/>
            </w:rPr>
          </w:pPr>
          <w:hyperlink w:anchor="_Toc494134756" w:history="1">
            <w:r w:rsidRPr="001E132A">
              <w:rPr>
                <w:rStyle w:val="Hipervnculo"/>
                <w:rFonts w:ascii="Arial" w:hAnsi="Arial" w:cs="Arial"/>
                <w:noProof/>
              </w:rPr>
              <w:t>Generalización</w:t>
            </w:r>
            <w:r>
              <w:rPr>
                <w:noProof/>
                <w:webHidden/>
              </w:rPr>
              <w:tab/>
            </w:r>
            <w:r>
              <w:rPr>
                <w:noProof/>
                <w:webHidden/>
              </w:rPr>
              <w:fldChar w:fldCharType="begin"/>
            </w:r>
            <w:r>
              <w:rPr>
                <w:noProof/>
                <w:webHidden/>
              </w:rPr>
              <w:instrText xml:space="preserve"> PAGEREF _Toc494134756 \h </w:instrText>
            </w:r>
            <w:r>
              <w:rPr>
                <w:noProof/>
                <w:webHidden/>
              </w:rPr>
            </w:r>
            <w:r>
              <w:rPr>
                <w:noProof/>
                <w:webHidden/>
              </w:rPr>
              <w:fldChar w:fldCharType="separate"/>
            </w:r>
            <w:r w:rsidR="00BD2C66">
              <w:rPr>
                <w:noProof/>
                <w:webHidden/>
              </w:rPr>
              <w:t>4</w:t>
            </w:r>
            <w:r>
              <w:rPr>
                <w:noProof/>
                <w:webHidden/>
              </w:rPr>
              <w:fldChar w:fldCharType="end"/>
            </w:r>
          </w:hyperlink>
        </w:p>
        <w:p w:rsidR="00001930" w:rsidRDefault="00001930">
          <w:pPr>
            <w:pStyle w:val="TDC1"/>
            <w:tabs>
              <w:tab w:val="right" w:leader="dot" w:pos="8828"/>
            </w:tabs>
            <w:rPr>
              <w:noProof/>
            </w:rPr>
          </w:pPr>
          <w:hyperlink w:anchor="_Toc494134757" w:history="1">
            <w:r w:rsidRPr="001E132A">
              <w:rPr>
                <w:rStyle w:val="Hipervnculo"/>
                <w:rFonts w:ascii="Arial" w:hAnsi="Arial" w:cs="Arial"/>
                <w:noProof/>
              </w:rPr>
              <w:t>Restricciones</w:t>
            </w:r>
            <w:r>
              <w:rPr>
                <w:noProof/>
                <w:webHidden/>
              </w:rPr>
              <w:tab/>
            </w:r>
            <w:r>
              <w:rPr>
                <w:noProof/>
                <w:webHidden/>
              </w:rPr>
              <w:fldChar w:fldCharType="begin"/>
            </w:r>
            <w:r>
              <w:rPr>
                <w:noProof/>
                <w:webHidden/>
              </w:rPr>
              <w:instrText xml:space="preserve"> PAGEREF _Toc494134757 \h </w:instrText>
            </w:r>
            <w:r>
              <w:rPr>
                <w:noProof/>
                <w:webHidden/>
              </w:rPr>
            </w:r>
            <w:r>
              <w:rPr>
                <w:noProof/>
                <w:webHidden/>
              </w:rPr>
              <w:fldChar w:fldCharType="separate"/>
            </w:r>
            <w:r w:rsidR="00BD2C66">
              <w:rPr>
                <w:noProof/>
                <w:webHidden/>
              </w:rPr>
              <w:t>6</w:t>
            </w:r>
            <w:r>
              <w:rPr>
                <w:noProof/>
                <w:webHidden/>
              </w:rPr>
              <w:fldChar w:fldCharType="end"/>
            </w:r>
          </w:hyperlink>
        </w:p>
        <w:p w:rsidR="00001930" w:rsidRDefault="00001930">
          <w:pPr>
            <w:pStyle w:val="TDC2"/>
            <w:tabs>
              <w:tab w:val="right" w:leader="dot" w:pos="8828"/>
            </w:tabs>
            <w:rPr>
              <w:rFonts w:eastAsiaTheme="minorEastAsia"/>
              <w:noProof/>
              <w:lang w:eastAsia="es-MX"/>
            </w:rPr>
          </w:pPr>
          <w:hyperlink w:anchor="_Toc494134758" w:history="1">
            <w:r w:rsidRPr="001E132A">
              <w:rPr>
                <w:rStyle w:val="Hipervnculo"/>
                <w:rFonts w:ascii="Arial" w:hAnsi="Arial" w:cs="Arial"/>
                <w:noProof/>
              </w:rPr>
              <w:t>Overlapping (traslapantes)</w:t>
            </w:r>
            <w:r>
              <w:rPr>
                <w:noProof/>
                <w:webHidden/>
              </w:rPr>
              <w:tab/>
            </w:r>
            <w:r>
              <w:rPr>
                <w:noProof/>
                <w:webHidden/>
              </w:rPr>
              <w:fldChar w:fldCharType="begin"/>
            </w:r>
            <w:r>
              <w:rPr>
                <w:noProof/>
                <w:webHidden/>
              </w:rPr>
              <w:instrText xml:space="preserve"> PAGEREF _Toc494134758 \h </w:instrText>
            </w:r>
            <w:r>
              <w:rPr>
                <w:noProof/>
                <w:webHidden/>
              </w:rPr>
            </w:r>
            <w:r>
              <w:rPr>
                <w:noProof/>
                <w:webHidden/>
              </w:rPr>
              <w:fldChar w:fldCharType="separate"/>
            </w:r>
            <w:r w:rsidR="00BD2C66">
              <w:rPr>
                <w:noProof/>
                <w:webHidden/>
              </w:rPr>
              <w:t>7</w:t>
            </w:r>
            <w:r>
              <w:rPr>
                <w:noProof/>
                <w:webHidden/>
              </w:rPr>
              <w:fldChar w:fldCharType="end"/>
            </w:r>
          </w:hyperlink>
        </w:p>
        <w:p w:rsidR="00001930" w:rsidRDefault="00001930">
          <w:pPr>
            <w:pStyle w:val="TDC2"/>
            <w:tabs>
              <w:tab w:val="right" w:leader="dot" w:pos="8828"/>
            </w:tabs>
            <w:rPr>
              <w:rFonts w:eastAsiaTheme="minorEastAsia"/>
              <w:noProof/>
              <w:lang w:eastAsia="es-MX"/>
            </w:rPr>
          </w:pPr>
          <w:hyperlink w:anchor="_Toc494134759" w:history="1">
            <w:r w:rsidRPr="001E132A">
              <w:rPr>
                <w:rStyle w:val="Hipervnculo"/>
                <w:rFonts w:ascii="Arial" w:hAnsi="Arial" w:cs="Arial"/>
                <w:noProof/>
              </w:rPr>
              <w:t>Disjointness (disyunción)</w:t>
            </w:r>
            <w:r>
              <w:rPr>
                <w:noProof/>
                <w:webHidden/>
              </w:rPr>
              <w:tab/>
            </w:r>
            <w:r>
              <w:rPr>
                <w:noProof/>
                <w:webHidden/>
              </w:rPr>
              <w:fldChar w:fldCharType="begin"/>
            </w:r>
            <w:r>
              <w:rPr>
                <w:noProof/>
                <w:webHidden/>
              </w:rPr>
              <w:instrText xml:space="preserve"> PAGEREF _Toc494134759 \h </w:instrText>
            </w:r>
            <w:r>
              <w:rPr>
                <w:noProof/>
                <w:webHidden/>
              </w:rPr>
            </w:r>
            <w:r>
              <w:rPr>
                <w:noProof/>
                <w:webHidden/>
              </w:rPr>
              <w:fldChar w:fldCharType="separate"/>
            </w:r>
            <w:r w:rsidR="00BD2C66">
              <w:rPr>
                <w:noProof/>
                <w:webHidden/>
              </w:rPr>
              <w:t>7</w:t>
            </w:r>
            <w:r>
              <w:rPr>
                <w:noProof/>
                <w:webHidden/>
              </w:rPr>
              <w:fldChar w:fldCharType="end"/>
            </w:r>
          </w:hyperlink>
        </w:p>
        <w:p w:rsidR="00001930" w:rsidRDefault="00001930">
          <w:pPr>
            <w:pStyle w:val="TDC1"/>
            <w:tabs>
              <w:tab w:val="right" w:leader="dot" w:pos="8828"/>
            </w:tabs>
            <w:rPr>
              <w:noProof/>
            </w:rPr>
          </w:pPr>
          <w:hyperlink w:anchor="_Toc494134760" w:history="1">
            <w:r w:rsidRPr="001E132A">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_Toc494134760 \h </w:instrText>
            </w:r>
            <w:r>
              <w:rPr>
                <w:noProof/>
                <w:webHidden/>
              </w:rPr>
            </w:r>
            <w:r>
              <w:rPr>
                <w:noProof/>
                <w:webHidden/>
              </w:rPr>
              <w:fldChar w:fldCharType="separate"/>
            </w:r>
            <w:r w:rsidR="00BD2C66">
              <w:rPr>
                <w:noProof/>
                <w:webHidden/>
              </w:rPr>
              <w:t>10</w:t>
            </w:r>
            <w:r>
              <w:rPr>
                <w:noProof/>
                <w:webHidden/>
              </w:rPr>
              <w:fldChar w:fldCharType="end"/>
            </w:r>
          </w:hyperlink>
        </w:p>
        <w:p w:rsidR="00602800" w:rsidRPr="00D12F9D" w:rsidRDefault="00602800" w:rsidP="00D12F9D">
          <w:pPr>
            <w:jc w:val="both"/>
            <w:rPr>
              <w:rFonts w:ascii="Arial" w:hAnsi="Arial" w:cs="Arial"/>
              <w:sz w:val="24"/>
              <w:szCs w:val="24"/>
            </w:rPr>
          </w:pPr>
          <w:r w:rsidRPr="00D12F9D">
            <w:rPr>
              <w:rFonts w:ascii="Arial" w:hAnsi="Arial" w:cs="Arial"/>
              <w:sz w:val="24"/>
              <w:szCs w:val="24"/>
              <w:lang w:val="es-ES"/>
            </w:rPr>
            <w:fldChar w:fldCharType="end"/>
          </w:r>
        </w:p>
      </w:sdtContent>
    </w:sdt>
    <w:p w:rsidR="00602800" w:rsidRPr="00D12F9D" w:rsidRDefault="00602800" w:rsidP="00D12F9D">
      <w:pPr>
        <w:spacing w:line="259" w:lineRule="auto"/>
        <w:jc w:val="both"/>
        <w:rPr>
          <w:rFonts w:ascii="Arial" w:hAnsi="Arial" w:cs="Arial"/>
          <w:sz w:val="24"/>
          <w:szCs w:val="24"/>
        </w:rPr>
      </w:pPr>
      <w:r w:rsidRPr="00D12F9D">
        <w:rPr>
          <w:rFonts w:ascii="Arial" w:hAnsi="Arial" w:cs="Arial"/>
          <w:sz w:val="24"/>
          <w:szCs w:val="24"/>
        </w:rPr>
        <w:br w:type="page"/>
      </w:r>
    </w:p>
    <w:p w:rsidR="006841DA" w:rsidRPr="00D12F9D" w:rsidRDefault="006A46D0" w:rsidP="00D12F9D">
      <w:pPr>
        <w:pStyle w:val="Ttulo1"/>
        <w:jc w:val="both"/>
        <w:rPr>
          <w:rFonts w:ascii="Arial" w:hAnsi="Arial" w:cs="Arial"/>
          <w:b/>
          <w:sz w:val="28"/>
          <w:szCs w:val="28"/>
        </w:rPr>
      </w:pPr>
      <w:bookmarkStart w:id="2" w:name="_Toc494134753"/>
      <w:r w:rsidRPr="00D12F9D">
        <w:rPr>
          <w:rFonts w:ascii="Arial" w:hAnsi="Arial" w:cs="Arial"/>
          <w:b/>
          <w:sz w:val="28"/>
          <w:szCs w:val="28"/>
        </w:rPr>
        <w:lastRenderedPageBreak/>
        <w:t>Concepto</w:t>
      </w:r>
      <w:bookmarkEnd w:id="2"/>
    </w:p>
    <w:p w:rsidR="000A4136" w:rsidRPr="00D12F9D" w:rsidRDefault="000A4136" w:rsidP="00D12F9D">
      <w:pPr>
        <w:jc w:val="both"/>
        <w:rPr>
          <w:rFonts w:ascii="Arial" w:hAnsi="Arial" w:cs="Arial"/>
          <w:sz w:val="24"/>
          <w:szCs w:val="24"/>
        </w:rPr>
      </w:pPr>
    </w:p>
    <w:p w:rsidR="000A4136" w:rsidRPr="00D12F9D" w:rsidRDefault="006A46D0"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El modelo entidad-relación extendido (EE-R) extiende el modelo E-R para permitir la inclusión de varios tipos de abstracción, y para expresar restricciones más claramente. A los diagramas E-R estándar se agregan símbolos adicionales para crear diagramas EE-R que expresen estos conceptos.</w:t>
      </w:r>
      <w:r w:rsidR="000A4136" w:rsidRPr="00D12F9D">
        <w:rPr>
          <w:rFonts w:ascii="Arial" w:hAnsi="Arial" w:cs="Arial"/>
          <w:sz w:val="24"/>
          <w:szCs w:val="24"/>
        </w:rPr>
        <w:t xml:space="preserve"> </w:t>
      </w:r>
      <w:r w:rsidR="000A4136" w:rsidRPr="00D12F9D">
        <w:rPr>
          <w:rStyle w:val="Hipervnculo"/>
          <w:rFonts w:ascii="Arial" w:hAnsi="Arial" w:cs="Arial"/>
          <w:noProof/>
          <w:color w:val="auto"/>
          <w:sz w:val="24"/>
          <w:szCs w:val="24"/>
          <w:u w:val="none"/>
        </w:rPr>
        <w:t>Las extensiones al modelo básico añaden además los atributos de las entidades y la jerarquía entre éstas. Estas extensiones tienen como finalidad aportar al modelo una mayor capacidad expresiva.</w:t>
      </w:r>
    </w:p>
    <w:p w:rsidR="000A4136" w:rsidRPr="00D12F9D" w:rsidRDefault="000A4136" w:rsidP="00D12F9D">
      <w:pPr>
        <w:jc w:val="both"/>
        <w:rPr>
          <w:rFonts w:ascii="Arial" w:hAnsi="Arial" w:cs="Arial"/>
          <w:sz w:val="24"/>
          <w:szCs w:val="24"/>
        </w:rPr>
      </w:pPr>
    </w:p>
    <w:p w:rsidR="00D12F9D" w:rsidRPr="00D12F9D" w:rsidRDefault="00D12F9D" w:rsidP="00D12F9D">
      <w:pPr>
        <w:jc w:val="both"/>
        <w:rPr>
          <w:rFonts w:ascii="Arial" w:hAnsi="Arial" w:cs="Arial"/>
          <w:sz w:val="24"/>
          <w:szCs w:val="24"/>
        </w:rPr>
      </w:pPr>
    </w:p>
    <w:p w:rsidR="000A4136" w:rsidRPr="00D12F9D" w:rsidRDefault="006A46D0" w:rsidP="00D12F9D">
      <w:pPr>
        <w:pStyle w:val="Ttulo1"/>
        <w:jc w:val="both"/>
        <w:rPr>
          <w:rFonts w:ascii="Arial" w:hAnsi="Arial" w:cs="Arial"/>
          <w:b/>
          <w:sz w:val="28"/>
          <w:szCs w:val="28"/>
        </w:rPr>
      </w:pPr>
      <w:bookmarkStart w:id="3" w:name="_Toc494134754"/>
      <w:r w:rsidRPr="00D12F9D">
        <w:rPr>
          <w:rFonts w:ascii="Arial" w:hAnsi="Arial" w:cs="Arial"/>
          <w:b/>
          <w:sz w:val="28"/>
          <w:szCs w:val="28"/>
        </w:rPr>
        <w:t>Opciones</w:t>
      </w:r>
      <w:bookmarkEnd w:id="3"/>
    </w:p>
    <w:p w:rsidR="00D12F9D" w:rsidRPr="00D12F9D" w:rsidRDefault="00D12F9D" w:rsidP="00D12F9D">
      <w:pPr>
        <w:rPr>
          <w:rFonts w:ascii="Arial" w:hAnsi="Arial" w:cs="Arial"/>
          <w:sz w:val="24"/>
          <w:szCs w:val="24"/>
        </w:rPr>
      </w:pPr>
    </w:p>
    <w:p w:rsidR="000A4136" w:rsidRPr="00D12F9D" w:rsidRDefault="000A4136"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El proceso de generalización y su inverso, la especialización, son dos abstracciones que se usan para incorporar diagramas EE-R más significativos.</w:t>
      </w:r>
    </w:p>
    <w:p w:rsidR="00D12F9D" w:rsidRPr="00D12F9D" w:rsidRDefault="00D12F9D" w:rsidP="00D12F9D">
      <w:pPr>
        <w:jc w:val="both"/>
        <w:rPr>
          <w:rFonts w:ascii="Arial" w:hAnsi="Arial" w:cs="Arial"/>
          <w:noProof/>
          <w:sz w:val="24"/>
          <w:szCs w:val="24"/>
        </w:rPr>
      </w:pPr>
    </w:p>
    <w:p w:rsidR="000A4136" w:rsidRPr="00D12F9D" w:rsidRDefault="000A4136" w:rsidP="00D12F9D">
      <w:pPr>
        <w:pStyle w:val="Ttulo2"/>
        <w:jc w:val="both"/>
        <w:rPr>
          <w:rFonts w:ascii="Arial" w:hAnsi="Arial" w:cs="Arial"/>
          <w:b/>
          <w:sz w:val="24"/>
          <w:szCs w:val="24"/>
        </w:rPr>
      </w:pPr>
      <w:bookmarkStart w:id="4" w:name="_Toc494134755"/>
      <w:r w:rsidRPr="00D12F9D">
        <w:rPr>
          <w:rFonts w:ascii="Arial" w:hAnsi="Arial" w:cs="Arial"/>
          <w:b/>
          <w:sz w:val="24"/>
          <w:szCs w:val="24"/>
        </w:rPr>
        <w:t>Especialización</w:t>
      </w:r>
      <w:bookmarkEnd w:id="4"/>
    </w:p>
    <w:p w:rsidR="00B41934" w:rsidRPr="00D12F9D" w:rsidRDefault="000A4136"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La especialización es el proceso de definir un conjunto de subclases de un tipo de entidad, la cual recibe el nombre de superclase de la especialización. El conjunto de subclases que forman una</w:t>
      </w:r>
      <w:r w:rsidR="00713856" w:rsidRPr="00D12F9D">
        <w:rPr>
          <w:rStyle w:val="Hipervnculo"/>
          <w:rFonts w:ascii="Arial" w:hAnsi="Arial" w:cs="Arial"/>
          <w:noProof/>
          <w:color w:val="auto"/>
          <w:sz w:val="24"/>
          <w:szCs w:val="24"/>
          <w:u w:val="none"/>
        </w:rPr>
        <w:t xml:space="preserve"> </w:t>
      </w:r>
      <w:r w:rsidRPr="00D12F9D">
        <w:rPr>
          <w:rStyle w:val="Hipervnculo"/>
          <w:rFonts w:ascii="Arial" w:hAnsi="Arial" w:cs="Arial"/>
          <w:noProof/>
          <w:color w:val="auto"/>
          <w:sz w:val="24"/>
          <w:szCs w:val="24"/>
          <w:u w:val="none"/>
        </w:rPr>
        <w:t>especialización se define</w:t>
      </w:r>
      <w:r w:rsidR="00713856" w:rsidRPr="00D12F9D">
        <w:rPr>
          <w:rStyle w:val="Hipervnculo"/>
          <w:rFonts w:ascii="Arial" w:hAnsi="Arial" w:cs="Arial"/>
          <w:noProof/>
          <w:color w:val="auto"/>
          <w:sz w:val="24"/>
          <w:szCs w:val="24"/>
          <w:u w:val="none"/>
        </w:rPr>
        <w:t xml:space="preserve"> </w:t>
      </w:r>
      <w:r w:rsidRPr="00D12F9D">
        <w:rPr>
          <w:rStyle w:val="Hipervnculo"/>
          <w:rFonts w:ascii="Arial" w:hAnsi="Arial" w:cs="Arial"/>
          <w:noProof/>
          <w:color w:val="auto"/>
          <w:sz w:val="24"/>
          <w:szCs w:val="24"/>
          <w:u w:val="none"/>
        </w:rPr>
        <w:t>basándose en algunas características distintivas de las entidades en la superclase.</w:t>
      </w:r>
    </w:p>
    <w:p w:rsidR="00B41934" w:rsidRPr="00D12F9D" w:rsidRDefault="00B41934"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El círculo debajo se llama círculo de especialización, y se conecta mediante una línea a la superclase. Cada subclase se conecta al círculo mediante una línea que tiene un símbolo de herencia, un símbolo de subconjunto o copa, con el lado abierto de frente a la superclase. Las subclases heredan los atributos de la superclase, y opcionalmente pueden tener atributos locales distintos.</w:t>
      </w:r>
    </w:p>
    <w:p w:rsidR="00A15681" w:rsidRPr="00D12F9D" w:rsidRDefault="000A4136"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Los atributos que se aplican únicamente a las entida</w:t>
      </w:r>
      <w:r w:rsidR="00713856" w:rsidRPr="00D12F9D">
        <w:rPr>
          <w:rStyle w:val="Hipervnculo"/>
          <w:rFonts w:ascii="Arial" w:hAnsi="Arial" w:cs="Arial"/>
          <w:noProof/>
          <w:color w:val="auto"/>
          <w:sz w:val="24"/>
          <w:szCs w:val="24"/>
          <w:u w:val="none"/>
        </w:rPr>
        <w:t xml:space="preserve">des de una subclase particular </w:t>
      </w:r>
      <w:r w:rsidRPr="00D12F9D">
        <w:rPr>
          <w:rStyle w:val="Hipervnculo"/>
          <w:rFonts w:ascii="Arial" w:hAnsi="Arial" w:cs="Arial"/>
          <w:noProof/>
          <w:color w:val="auto"/>
          <w:sz w:val="24"/>
          <w:szCs w:val="24"/>
          <w:u w:val="none"/>
        </w:rPr>
        <w:t>están unidas al rectángulo que la representa, y reciben el nombre de atributos específicos (o atributos locales) de la subclase. Además, una subclase puede participar de tipos de relación específicos</w:t>
      </w:r>
      <w:r w:rsidR="00B41934" w:rsidRPr="00D12F9D">
        <w:rPr>
          <w:rStyle w:val="Hipervnculo"/>
          <w:rFonts w:ascii="Arial" w:hAnsi="Arial" w:cs="Arial"/>
          <w:noProof/>
          <w:color w:val="auto"/>
          <w:sz w:val="24"/>
          <w:szCs w:val="24"/>
          <w:u w:val="none"/>
        </w:rPr>
        <w:t>.</w:t>
      </w:r>
    </w:p>
    <w:p w:rsidR="00A15681" w:rsidRPr="00D12F9D" w:rsidRDefault="00A15681"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En este diagrama, la superclase, Faculty, se especializó en dos subclases, AdjunctFac y FullTimeFac. Las subclases heredan los atributos de la superclase, y opcionalmente pueden tener atributos locales distintos, como coursePayRate para AdjunctFac y annualSalary para FullTimeFac. Dado que cada miembro de una subclase es miembro de la superclase, al círculo de especialización a veces se le conoce como relación isa.</w:t>
      </w:r>
    </w:p>
    <w:p w:rsidR="00B41934" w:rsidRPr="00D12F9D" w:rsidRDefault="00B41934" w:rsidP="00D12F9D">
      <w:pPr>
        <w:jc w:val="center"/>
        <w:rPr>
          <w:rStyle w:val="Hipervnculo"/>
          <w:rFonts w:ascii="Arial" w:hAnsi="Arial" w:cs="Arial"/>
          <w:noProof/>
          <w:color w:val="auto"/>
          <w:sz w:val="24"/>
          <w:szCs w:val="24"/>
          <w:u w:val="none"/>
        </w:rPr>
      </w:pPr>
      <w:r w:rsidRPr="00D12F9D">
        <w:rPr>
          <w:rFonts w:ascii="Arial" w:hAnsi="Arial" w:cs="Arial"/>
          <w:noProof/>
          <w:sz w:val="24"/>
          <w:szCs w:val="24"/>
        </w:rPr>
        <w:lastRenderedPageBreak/>
        <w:drawing>
          <wp:inline distT="0" distB="0" distL="0" distR="0">
            <wp:extent cx="1969493" cy="2309644"/>
            <wp:effectExtent l="0" t="0" r="0" b="0"/>
            <wp:docPr id="4" name="Imagen 4" descr="https://i.gyazo.com/d3229d34a8d027cdb5f5c2f9c633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d3229d34a8d027cdb5f5c2f9c633040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5302" cy="2328183"/>
                    </a:xfrm>
                    <a:prstGeom prst="rect">
                      <a:avLst/>
                    </a:prstGeom>
                    <a:noFill/>
                    <a:ln>
                      <a:noFill/>
                    </a:ln>
                  </pic:spPr>
                </pic:pic>
              </a:graphicData>
            </a:graphic>
          </wp:inline>
        </w:drawing>
      </w:r>
    </w:p>
    <w:p w:rsidR="00D12F9D" w:rsidRPr="00D12F9D" w:rsidRDefault="00D12F9D" w:rsidP="00D12F9D">
      <w:pPr>
        <w:jc w:val="center"/>
        <w:rPr>
          <w:rStyle w:val="Hipervnculo"/>
          <w:rFonts w:ascii="Arial" w:hAnsi="Arial" w:cs="Arial"/>
          <w:noProof/>
          <w:color w:val="auto"/>
          <w:sz w:val="24"/>
          <w:szCs w:val="24"/>
          <w:u w:val="none"/>
        </w:rPr>
      </w:pPr>
    </w:p>
    <w:p w:rsidR="00D12F9D" w:rsidRPr="00D12F9D" w:rsidRDefault="00713856" w:rsidP="00D12F9D">
      <w:pPr>
        <w:pStyle w:val="Ttulo2"/>
        <w:jc w:val="both"/>
        <w:rPr>
          <w:rFonts w:ascii="Arial" w:hAnsi="Arial" w:cs="Arial"/>
          <w:b/>
          <w:sz w:val="24"/>
          <w:szCs w:val="24"/>
        </w:rPr>
      </w:pPr>
      <w:bookmarkStart w:id="5" w:name="_Toc494134756"/>
      <w:r w:rsidRPr="00D12F9D">
        <w:rPr>
          <w:rStyle w:val="Hipervnculo"/>
          <w:rFonts w:ascii="Arial" w:hAnsi="Arial" w:cs="Arial"/>
          <w:b/>
          <w:color w:val="2F5496" w:themeColor="accent1" w:themeShade="BF"/>
          <w:sz w:val="24"/>
          <w:szCs w:val="24"/>
          <w:u w:val="none"/>
        </w:rPr>
        <w:t>Generalización</w:t>
      </w:r>
      <w:bookmarkEnd w:id="5"/>
    </w:p>
    <w:p w:rsidR="00D12F9D" w:rsidRPr="00D12F9D" w:rsidRDefault="00713856"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Podemos pensar en un proceso inverso de abstracción en el que eliminemos las diferencias existentes entre distintas entidades, identifiquemos las características comunes y las generalicemos en una única superclase de la que las entidades originales sean subclases especiales. Usamos el término generalización para referirnos al proceso por el cual se define una entidad generalizada a partir de entidades individuales.</w:t>
      </w:r>
    </w:p>
    <w:p w:rsidR="00D12F9D" w:rsidRPr="00D12F9D" w:rsidRDefault="00D12F9D"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Por ejemplo, dado que los estudiantes y docentes tienen ambas ID y nombres como atributos, estos dos conjuntos de entidades se podrían generalizar en una nueva superclase, Person, que tenga los atributos comunes. Las subclases Student y Faculty conservarían cada una sus atributos especiales.</w:t>
      </w:r>
    </w:p>
    <w:p w:rsidR="00D12F9D" w:rsidRPr="00D12F9D" w:rsidRDefault="00D12F9D" w:rsidP="00D12F9D">
      <w:pPr>
        <w:autoSpaceDE w:val="0"/>
        <w:autoSpaceDN w:val="0"/>
        <w:adjustRightInd w:val="0"/>
        <w:spacing w:after="0" w:line="240" w:lineRule="auto"/>
        <w:jc w:val="both"/>
        <w:rPr>
          <w:rStyle w:val="Hipervnculo"/>
          <w:rFonts w:ascii="Arial" w:hAnsi="Arial" w:cs="Arial"/>
          <w:noProof/>
          <w:color w:val="auto"/>
          <w:sz w:val="24"/>
          <w:szCs w:val="24"/>
          <w:u w:val="none"/>
        </w:rPr>
      </w:pPr>
    </w:p>
    <w:p w:rsidR="00D12F9D" w:rsidRDefault="00D12F9D" w:rsidP="00D12F9D">
      <w:pPr>
        <w:autoSpaceDE w:val="0"/>
        <w:autoSpaceDN w:val="0"/>
        <w:adjustRightInd w:val="0"/>
        <w:spacing w:after="0" w:line="240" w:lineRule="auto"/>
        <w:jc w:val="center"/>
        <w:rPr>
          <w:rFonts w:ascii="Arial" w:hAnsi="Arial" w:cs="Arial"/>
          <w:noProof/>
          <w:sz w:val="24"/>
          <w:szCs w:val="24"/>
        </w:rPr>
      </w:pPr>
    </w:p>
    <w:p w:rsidR="00D12F9D" w:rsidRDefault="00D12F9D" w:rsidP="00D12F9D">
      <w:pPr>
        <w:autoSpaceDE w:val="0"/>
        <w:autoSpaceDN w:val="0"/>
        <w:adjustRightInd w:val="0"/>
        <w:spacing w:after="0" w:line="240" w:lineRule="auto"/>
        <w:jc w:val="center"/>
        <w:rPr>
          <w:rStyle w:val="Hipervnculo"/>
          <w:rFonts w:ascii="Arial" w:hAnsi="Arial" w:cs="Arial"/>
          <w:noProof/>
          <w:color w:val="auto"/>
          <w:sz w:val="24"/>
          <w:szCs w:val="24"/>
          <w:u w:val="none"/>
        </w:rPr>
      </w:pPr>
      <w:r w:rsidRPr="00D12F9D">
        <w:rPr>
          <w:rFonts w:ascii="Arial" w:hAnsi="Arial" w:cs="Arial"/>
          <w:noProof/>
          <w:sz w:val="24"/>
          <w:szCs w:val="24"/>
        </w:rPr>
        <w:drawing>
          <wp:inline distT="0" distB="0" distL="0" distR="0" wp14:anchorId="5F44D316" wp14:editId="6E62C94F">
            <wp:extent cx="2305140" cy="2067682"/>
            <wp:effectExtent l="0" t="0" r="0" b="8890"/>
            <wp:docPr id="5" name="Imagen 5" descr="https://i.gyazo.com/20eafa9798f958d99c34d90c9cb6c4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20eafa9798f958d99c34d90c9cb6c4d5.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091"/>
                    <a:stretch/>
                  </pic:blipFill>
                  <pic:spPr bwMode="auto">
                    <a:xfrm>
                      <a:off x="0" y="0"/>
                      <a:ext cx="2339320" cy="2098341"/>
                    </a:xfrm>
                    <a:prstGeom prst="rect">
                      <a:avLst/>
                    </a:prstGeom>
                    <a:noFill/>
                    <a:ln>
                      <a:noFill/>
                    </a:ln>
                    <a:extLst>
                      <a:ext uri="{53640926-AAD7-44D8-BBD7-CCE9431645EC}">
                        <a14:shadowObscured xmlns:a14="http://schemas.microsoft.com/office/drawing/2010/main"/>
                      </a:ext>
                    </a:extLst>
                  </pic:spPr>
                </pic:pic>
              </a:graphicData>
            </a:graphic>
          </wp:inline>
        </w:drawing>
      </w:r>
    </w:p>
    <w:p w:rsidR="00D12F9D" w:rsidRDefault="00D12F9D" w:rsidP="00D12F9D">
      <w:pPr>
        <w:autoSpaceDE w:val="0"/>
        <w:autoSpaceDN w:val="0"/>
        <w:adjustRightInd w:val="0"/>
        <w:spacing w:after="0" w:line="240" w:lineRule="auto"/>
        <w:jc w:val="center"/>
        <w:rPr>
          <w:rStyle w:val="Hipervnculo"/>
          <w:rFonts w:ascii="Arial" w:hAnsi="Arial" w:cs="Arial"/>
          <w:noProof/>
          <w:color w:val="auto"/>
          <w:sz w:val="24"/>
          <w:szCs w:val="24"/>
          <w:u w:val="none"/>
        </w:rPr>
      </w:pPr>
    </w:p>
    <w:p w:rsidR="00D12F9D" w:rsidRPr="00D12F9D" w:rsidRDefault="00D12F9D"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Por ejemplo, consideremos las entidades COCHE</w:t>
      </w:r>
      <w:r>
        <w:rPr>
          <w:rStyle w:val="Hipervnculo"/>
          <w:rFonts w:ascii="Arial" w:hAnsi="Arial" w:cs="Arial"/>
          <w:noProof/>
          <w:color w:val="auto"/>
          <w:sz w:val="24"/>
          <w:szCs w:val="24"/>
          <w:u w:val="none"/>
        </w:rPr>
        <w:t xml:space="preserve"> y CAMI</w:t>
      </w:r>
      <w:r w:rsidRPr="00D12F9D">
        <w:rPr>
          <w:rStyle w:val="Hipervnculo"/>
          <w:rFonts w:ascii="Arial" w:hAnsi="Arial" w:cs="Arial"/>
          <w:noProof/>
          <w:color w:val="auto"/>
          <w:sz w:val="24"/>
          <w:szCs w:val="24"/>
          <w:u w:val="none"/>
        </w:rPr>
        <w:t xml:space="preserve">ÓN mostradas en la Figura 4.3(a). Ya que ambas cuentan con características comunes, podrían </w:t>
      </w:r>
      <w:r w:rsidRPr="00D12F9D">
        <w:rPr>
          <w:rStyle w:val="Hipervnculo"/>
          <w:rFonts w:ascii="Arial" w:hAnsi="Arial" w:cs="Arial"/>
          <w:noProof/>
          <w:color w:val="auto"/>
          <w:sz w:val="24"/>
          <w:szCs w:val="24"/>
          <w:u w:val="none"/>
        </w:rPr>
        <w:lastRenderedPageBreak/>
        <w:t>generalizarse</w:t>
      </w:r>
      <w:r>
        <w:rPr>
          <w:rStyle w:val="Hipervnculo"/>
          <w:rFonts w:ascii="Arial" w:hAnsi="Arial" w:cs="Arial"/>
          <w:noProof/>
          <w:color w:val="auto"/>
          <w:sz w:val="24"/>
          <w:szCs w:val="24"/>
          <w:u w:val="none"/>
        </w:rPr>
        <w:t xml:space="preserve"> en la entidad VEHÍ</w:t>
      </w:r>
      <w:r w:rsidRPr="00D12F9D">
        <w:rPr>
          <w:rStyle w:val="Hipervnculo"/>
          <w:rFonts w:ascii="Arial" w:hAnsi="Arial" w:cs="Arial"/>
          <w:noProof/>
          <w:color w:val="auto"/>
          <w:sz w:val="24"/>
          <w:szCs w:val="24"/>
          <w:u w:val="none"/>
        </w:rPr>
        <w:t>CULO (véase la Figur</w:t>
      </w:r>
      <w:r>
        <w:rPr>
          <w:rStyle w:val="Hipervnculo"/>
          <w:rFonts w:ascii="Arial" w:hAnsi="Arial" w:cs="Arial"/>
          <w:noProof/>
          <w:color w:val="auto"/>
          <w:sz w:val="24"/>
          <w:szCs w:val="24"/>
          <w:u w:val="none"/>
        </w:rPr>
        <w:t>a 4.3[b]). Tanto COCHE como CAMI</w:t>
      </w:r>
      <w:r w:rsidRPr="00D12F9D">
        <w:rPr>
          <w:rStyle w:val="Hipervnculo"/>
          <w:rFonts w:ascii="Arial" w:hAnsi="Arial" w:cs="Arial"/>
          <w:noProof/>
          <w:color w:val="auto"/>
          <w:sz w:val="24"/>
          <w:szCs w:val="24"/>
          <w:u w:val="none"/>
        </w:rPr>
        <w:t>ÓN son ahora subclases</w:t>
      </w:r>
      <w:r>
        <w:rPr>
          <w:rStyle w:val="Hipervnculo"/>
          <w:rFonts w:ascii="Arial" w:hAnsi="Arial" w:cs="Arial"/>
          <w:noProof/>
          <w:color w:val="auto"/>
          <w:sz w:val="24"/>
          <w:szCs w:val="24"/>
          <w:u w:val="none"/>
        </w:rPr>
        <w:t xml:space="preserve"> </w:t>
      </w:r>
      <w:r w:rsidRPr="00D12F9D">
        <w:rPr>
          <w:rStyle w:val="Hipervnculo"/>
          <w:rFonts w:ascii="Arial" w:hAnsi="Arial" w:cs="Arial"/>
          <w:noProof/>
          <w:color w:val="auto"/>
          <w:sz w:val="24"/>
          <w:szCs w:val="24"/>
          <w:u w:val="none"/>
        </w:rPr>
        <w:t>de</w:t>
      </w:r>
      <w:r>
        <w:rPr>
          <w:rStyle w:val="Hipervnculo"/>
          <w:rFonts w:ascii="Arial" w:hAnsi="Arial" w:cs="Arial"/>
          <w:noProof/>
          <w:color w:val="auto"/>
          <w:sz w:val="24"/>
          <w:szCs w:val="24"/>
          <w:u w:val="none"/>
        </w:rPr>
        <w:t xml:space="preserve"> la superclase generalizada VEHÍ</w:t>
      </w:r>
      <w:r w:rsidRPr="00D12F9D">
        <w:rPr>
          <w:rStyle w:val="Hipervnculo"/>
          <w:rFonts w:ascii="Arial" w:hAnsi="Arial" w:cs="Arial"/>
          <w:noProof/>
          <w:color w:val="auto"/>
          <w:sz w:val="24"/>
          <w:szCs w:val="24"/>
          <w:u w:val="none"/>
        </w:rPr>
        <w:t>CULO.</w:t>
      </w:r>
    </w:p>
    <w:p w:rsidR="00B41934" w:rsidRPr="00D12F9D" w:rsidRDefault="00B41934" w:rsidP="00D12F9D">
      <w:pPr>
        <w:autoSpaceDE w:val="0"/>
        <w:autoSpaceDN w:val="0"/>
        <w:adjustRightInd w:val="0"/>
        <w:spacing w:after="0" w:line="240" w:lineRule="auto"/>
        <w:jc w:val="both"/>
        <w:rPr>
          <w:rStyle w:val="Hipervnculo"/>
          <w:rFonts w:ascii="Arial" w:hAnsi="Arial" w:cs="Arial"/>
          <w:noProof/>
          <w:color w:val="auto"/>
          <w:sz w:val="24"/>
          <w:szCs w:val="24"/>
          <w:u w:val="none"/>
        </w:rPr>
      </w:pPr>
    </w:p>
    <w:p w:rsidR="00B41934" w:rsidRPr="00D12F9D" w:rsidRDefault="00B41934" w:rsidP="00D12F9D">
      <w:pPr>
        <w:autoSpaceDE w:val="0"/>
        <w:autoSpaceDN w:val="0"/>
        <w:adjustRightInd w:val="0"/>
        <w:spacing w:after="0" w:line="240" w:lineRule="auto"/>
        <w:jc w:val="both"/>
        <w:rPr>
          <w:rStyle w:val="Hipervnculo"/>
          <w:rFonts w:ascii="Arial" w:hAnsi="Arial" w:cs="Arial"/>
          <w:noProof/>
          <w:color w:val="auto"/>
          <w:sz w:val="24"/>
          <w:szCs w:val="24"/>
          <w:u w:val="none"/>
        </w:rPr>
      </w:pPr>
    </w:p>
    <w:p w:rsidR="00B41934" w:rsidRPr="00D12F9D" w:rsidRDefault="00B41934" w:rsidP="00D12F9D">
      <w:pPr>
        <w:autoSpaceDE w:val="0"/>
        <w:autoSpaceDN w:val="0"/>
        <w:adjustRightInd w:val="0"/>
        <w:spacing w:after="0" w:line="240" w:lineRule="auto"/>
        <w:jc w:val="center"/>
        <w:rPr>
          <w:rStyle w:val="Hipervnculo"/>
          <w:rFonts w:ascii="Arial" w:hAnsi="Arial" w:cs="Arial"/>
          <w:noProof/>
          <w:color w:val="auto"/>
          <w:sz w:val="24"/>
          <w:szCs w:val="24"/>
          <w:u w:val="none"/>
        </w:rPr>
      </w:pPr>
      <w:r w:rsidRPr="00D12F9D">
        <w:rPr>
          <w:rFonts w:ascii="Arial" w:hAnsi="Arial" w:cs="Arial"/>
          <w:noProof/>
          <w:sz w:val="24"/>
          <w:szCs w:val="24"/>
        </w:rPr>
        <w:drawing>
          <wp:inline distT="0" distB="0" distL="0" distR="0">
            <wp:extent cx="4639312" cy="2667000"/>
            <wp:effectExtent l="0" t="0" r="8890" b="0"/>
            <wp:docPr id="3" name="Imagen 3" descr="https://i.gyazo.com/21826000088f13836151bf7149873f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1826000088f13836151bf7149873f5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5630" cy="2670632"/>
                    </a:xfrm>
                    <a:prstGeom prst="rect">
                      <a:avLst/>
                    </a:prstGeom>
                    <a:noFill/>
                    <a:ln>
                      <a:noFill/>
                    </a:ln>
                  </pic:spPr>
                </pic:pic>
              </a:graphicData>
            </a:graphic>
          </wp:inline>
        </w:drawing>
      </w:r>
    </w:p>
    <w:p w:rsidR="000A44FC" w:rsidRPr="00D12F9D" w:rsidRDefault="000A44FC" w:rsidP="00D12F9D">
      <w:pPr>
        <w:spacing w:line="259" w:lineRule="auto"/>
        <w:jc w:val="both"/>
        <w:rPr>
          <w:rFonts w:ascii="Arial" w:eastAsiaTheme="majorEastAsia" w:hAnsi="Arial" w:cs="Arial"/>
          <w:color w:val="2F5496" w:themeColor="accent1" w:themeShade="BF"/>
          <w:sz w:val="24"/>
          <w:szCs w:val="24"/>
        </w:rPr>
      </w:pPr>
      <w:r w:rsidRPr="00D12F9D">
        <w:rPr>
          <w:rFonts w:ascii="Arial" w:hAnsi="Arial" w:cs="Arial"/>
          <w:sz w:val="24"/>
          <w:szCs w:val="24"/>
        </w:rPr>
        <w:br w:type="page"/>
      </w:r>
    </w:p>
    <w:p w:rsidR="0098799A" w:rsidRPr="00D12F9D" w:rsidRDefault="0098799A" w:rsidP="00D12F9D">
      <w:pPr>
        <w:pStyle w:val="Ttulo1"/>
        <w:jc w:val="both"/>
        <w:rPr>
          <w:rFonts w:ascii="Arial" w:hAnsi="Arial" w:cs="Arial"/>
          <w:b/>
          <w:sz w:val="28"/>
          <w:szCs w:val="28"/>
        </w:rPr>
      </w:pPr>
      <w:bookmarkStart w:id="6" w:name="_Toc494134757"/>
      <w:r w:rsidRPr="00D12F9D">
        <w:rPr>
          <w:rFonts w:ascii="Arial" w:hAnsi="Arial" w:cs="Arial"/>
          <w:b/>
          <w:sz w:val="28"/>
          <w:szCs w:val="28"/>
        </w:rPr>
        <w:lastRenderedPageBreak/>
        <w:t>Restricciones</w:t>
      </w:r>
      <w:bookmarkEnd w:id="6"/>
    </w:p>
    <w:p w:rsidR="00A777BB" w:rsidRDefault="00A777BB"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En algunas especializaciones, podemos determinar con exactitud las entidades que se convertirán en miembros de cada subclase situando una condición en el valor de algunos atributos de la superclase. Estas subclases reciben el nombre de subclases de predicado definido (o de condición definida).</w:t>
      </w:r>
    </w:p>
    <w:p w:rsidR="000F760B" w:rsidRDefault="000F760B" w:rsidP="000F760B">
      <w:pPr>
        <w:jc w:val="both"/>
        <w:rPr>
          <w:rStyle w:val="Hipervnculo"/>
          <w:rFonts w:ascii="Arial" w:hAnsi="Arial" w:cs="Arial"/>
          <w:noProof/>
          <w:color w:val="auto"/>
          <w:sz w:val="24"/>
          <w:szCs w:val="24"/>
          <w:u w:val="none"/>
        </w:rPr>
      </w:pPr>
      <w:r w:rsidRPr="000F760B">
        <w:rPr>
          <w:rStyle w:val="Hipervnculo"/>
          <w:rFonts w:ascii="Arial" w:hAnsi="Arial" w:cs="Arial"/>
          <w:noProof/>
          <w:color w:val="auto"/>
          <w:sz w:val="24"/>
          <w:szCs w:val="24"/>
          <w:u w:val="none"/>
        </w:rPr>
        <w:t>En la</w:t>
      </w:r>
      <w:r>
        <w:rPr>
          <w:rStyle w:val="Hipervnculo"/>
          <w:rFonts w:ascii="Arial" w:hAnsi="Arial" w:cs="Arial"/>
          <w:noProof/>
          <w:color w:val="auto"/>
          <w:sz w:val="24"/>
          <w:szCs w:val="24"/>
          <w:u w:val="none"/>
        </w:rPr>
        <w:t xml:space="preserve"> </w:t>
      </w:r>
      <w:r w:rsidRPr="000F760B">
        <w:rPr>
          <w:rStyle w:val="Hipervnculo"/>
          <w:rFonts w:ascii="Arial" w:hAnsi="Arial" w:cs="Arial"/>
          <w:noProof/>
          <w:color w:val="auto"/>
          <w:sz w:val="24"/>
          <w:szCs w:val="24"/>
          <w:u w:val="none"/>
        </w:rPr>
        <w:t>especialización de UnderGraduates, si el predicado “credits &lt;30” es verdadero, el estudiante</w:t>
      </w:r>
      <w:r>
        <w:rPr>
          <w:rStyle w:val="Hipervnculo"/>
          <w:rFonts w:ascii="Arial" w:hAnsi="Arial" w:cs="Arial"/>
          <w:noProof/>
          <w:color w:val="auto"/>
          <w:sz w:val="24"/>
          <w:szCs w:val="24"/>
          <w:u w:val="none"/>
        </w:rPr>
        <w:t xml:space="preserve"> </w:t>
      </w:r>
      <w:r w:rsidRPr="000F760B">
        <w:rPr>
          <w:rStyle w:val="Hipervnculo"/>
          <w:rFonts w:ascii="Arial" w:hAnsi="Arial" w:cs="Arial"/>
          <w:noProof/>
          <w:color w:val="auto"/>
          <w:sz w:val="24"/>
          <w:szCs w:val="24"/>
          <w:u w:val="none"/>
        </w:rPr>
        <w:t>pertenece a la subclase freshman, mientras que si el predicado “credits &gt; = 30 AND</w:t>
      </w:r>
      <w:r>
        <w:rPr>
          <w:rStyle w:val="Hipervnculo"/>
          <w:rFonts w:ascii="Arial" w:hAnsi="Arial" w:cs="Arial"/>
          <w:noProof/>
          <w:color w:val="auto"/>
          <w:sz w:val="24"/>
          <w:szCs w:val="24"/>
          <w:u w:val="none"/>
        </w:rPr>
        <w:t xml:space="preserve"> </w:t>
      </w:r>
      <w:r w:rsidRPr="000F760B">
        <w:rPr>
          <w:rStyle w:val="Hipervnculo"/>
          <w:rFonts w:ascii="Arial" w:hAnsi="Arial" w:cs="Arial"/>
          <w:noProof/>
          <w:color w:val="auto"/>
          <w:sz w:val="24"/>
          <w:szCs w:val="24"/>
          <w:u w:val="none"/>
        </w:rPr>
        <w:t>credits &lt;60” es verdadero, el estudiante es un sophomore, y así para las otras dos subclases.</w:t>
      </w:r>
      <w:r>
        <w:rPr>
          <w:rStyle w:val="Hipervnculo"/>
          <w:rFonts w:ascii="Arial" w:hAnsi="Arial" w:cs="Arial"/>
          <w:noProof/>
          <w:color w:val="auto"/>
          <w:sz w:val="24"/>
          <w:szCs w:val="24"/>
          <w:u w:val="none"/>
        </w:rPr>
        <w:t xml:space="preserve"> </w:t>
      </w:r>
      <w:r w:rsidRPr="000F760B">
        <w:rPr>
          <w:rStyle w:val="Hipervnculo"/>
          <w:rFonts w:ascii="Arial" w:hAnsi="Arial" w:cs="Arial"/>
          <w:noProof/>
          <w:color w:val="auto"/>
          <w:sz w:val="24"/>
          <w:szCs w:val="24"/>
          <w:u w:val="none"/>
        </w:rPr>
        <w:t>Éste es un ejemplo de una especialización definida por predicado, pues la membresía a la</w:t>
      </w:r>
      <w:r>
        <w:rPr>
          <w:rStyle w:val="Hipervnculo"/>
          <w:rFonts w:ascii="Arial" w:hAnsi="Arial" w:cs="Arial"/>
          <w:noProof/>
          <w:color w:val="auto"/>
          <w:sz w:val="24"/>
          <w:szCs w:val="24"/>
          <w:u w:val="none"/>
        </w:rPr>
        <w:t xml:space="preserve"> </w:t>
      </w:r>
      <w:r w:rsidRPr="000F760B">
        <w:rPr>
          <w:rStyle w:val="Hipervnculo"/>
          <w:rFonts w:ascii="Arial" w:hAnsi="Arial" w:cs="Arial"/>
          <w:noProof/>
          <w:color w:val="auto"/>
          <w:sz w:val="24"/>
          <w:szCs w:val="24"/>
          <w:u w:val="none"/>
        </w:rPr>
        <w:t>subclase está determinada por un predicado. En un diagrama EE-R se puede escribir el predicado</w:t>
      </w:r>
      <w:r>
        <w:rPr>
          <w:rStyle w:val="Hipervnculo"/>
          <w:rFonts w:ascii="Arial" w:hAnsi="Arial" w:cs="Arial"/>
          <w:noProof/>
          <w:color w:val="auto"/>
          <w:sz w:val="24"/>
          <w:szCs w:val="24"/>
          <w:u w:val="none"/>
        </w:rPr>
        <w:t xml:space="preserve"> </w:t>
      </w:r>
      <w:r w:rsidRPr="000F760B">
        <w:rPr>
          <w:rStyle w:val="Hipervnculo"/>
          <w:rFonts w:ascii="Arial" w:hAnsi="Arial" w:cs="Arial"/>
          <w:noProof/>
          <w:color w:val="auto"/>
          <w:sz w:val="24"/>
          <w:szCs w:val="24"/>
          <w:u w:val="none"/>
        </w:rPr>
        <w:t>definitorio en la línea desde el círculo de especialización hasta la subclase, como se</w:t>
      </w:r>
      <w:r>
        <w:rPr>
          <w:rStyle w:val="Hipervnculo"/>
          <w:rFonts w:ascii="Arial" w:hAnsi="Arial" w:cs="Arial"/>
          <w:noProof/>
          <w:color w:val="auto"/>
          <w:sz w:val="24"/>
          <w:szCs w:val="24"/>
          <w:u w:val="none"/>
        </w:rPr>
        <w:t xml:space="preserve"> </w:t>
      </w:r>
      <w:r w:rsidRPr="000F760B">
        <w:rPr>
          <w:rStyle w:val="Hipervnculo"/>
          <w:rFonts w:ascii="Arial" w:hAnsi="Arial" w:cs="Arial"/>
          <w:noProof/>
          <w:color w:val="auto"/>
          <w:sz w:val="24"/>
          <w:szCs w:val="24"/>
          <w:u w:val="none"/>
        </w:rPr>
        <w:t>muestra en la figura 7.2(c).</w:t>
      </w:r>
    </w:p>
    <w:p w:rsidR="000F760B" w:rsidRPr="00D12F9D" w:rsidRDefault="000F760B" w:rsidP="000F760B">
      <w:pPr>
        <w:jc w:val="center"/>
        <w:rPr>
          <w:rStyle w:val="Hipervnculo"/>
          <w:rFonts w:ascii="Arial" w:hAnsi="Arial" w:cs="Arial"/>
          <w:noProof/>
          <w:color w:val="auto"/>
          <w:sz w:val="24"/>
          <w:szCs w:val="24"/>
          <w:u w:val="none"/>
        </w:rPr>
      </w:pPr>
      <w:r>
        <w:rPr>
          <w:noProof/>
        </w:rPr>
        <w:drawing>
          <wp:inline distT="0" distB="0" distL="0" distR="0">
            <wp:extent cx="4137940" cy="3086735"/>
            <wp:effectExtent l="0" t="0" r="0" b="0"/>
            <wp:docPr id="8" name="Imagen 8" descr="https://i.gyazo.com/4d574ad3dd3378161a4356f0b2f614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4d574ad3dd3378161a4356f0b2f6144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5418" cy="3099773"/>
                    </a:xfrm>
                    <a:prstGeom prst="rect">
                      <a:avLst/>
                    </a:prstGeom>
                    <a:noFill/>
                    <a:ln>
                      <a:noFill/>
                    </a:ln>
                  </pic:spPr>
                </pic:pic>
              </a:graphicData>
            </a:graphic>
          </wp:inline>
        </w:drawing>
      </w:r>
    </w:p>
    <w:p w:rsidR="00A777BB" w:rsidRDefault="00A777BB"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Si todas las subclases de una especializ</w:t>
      </w:r>
      <w:r w:rsidR="002D2998" w:rsidRPr="00D12F9D">
        <w:rPr>
          <w:rStyle w:val="Hipervnculo"/>
          <w:rFonts w:ascii="Arial" w:hAnsi="Arial" w:cs="Arial"/>
          <w:noProof/>
          <w:color w:val="auto"/>
          <w:sz w:val="24"/>
          <w:szCs w:val="24"/>
          <w:u w:val="none"/>
        </w:rPr>
        <w:t>ación tienen su condición de per</w:t>
      </w:r>
      <w:r w:rsidRPr="00D12F9D">
        <w:rPr>
          <w:rStyle w:val="Hipervnculo"/>
          <w:rFonts w:ascii="Arial" w:hAnsi="Arial" w:cs="Arial"/>
          <w:noProof/>
          <w:color w:val="auto"/>
          <w:sz w:val="24"/>
          <w:szCs w:val="24"/>
          <w:u w:val="none"/>
        </w:rPr>
        <w:t>tenencia en el mismo atributo de la superclase, la propia especialización recibe el nombre de especialización de atributo definido, y el atributo recibe el nombre de atributo definitorio de la especialización.</w:t>
      </w:r>
    </w:p>
    <w:p w:rsidR="000F760B" w:rsidRDefault="000F760B" w:rsidP="000F760B">
      <w:pPr>
        <w:jc w:val="both"/>
        <w:rPr>
          <w:rStyle w:val="Hipervnculo"/>
          <w:rFonts w:ascii="Arial" w:hAnsi="Arial" w:cs="Arial"/>
          <w:noProof/>
          <w:color w:val="auto"/>
          <w:sz w:val="24"/>
          <w:szCs w:val="24"/>
          <w:u w:val="none"/>
        </w:rPr>
      </w:pPr>
      <w:r w:rsidRPr="000F760B">
        <w:rPr>
          <w:rStyle w:val="Hipervnculo"/>
          <w:rFonts w:ascii="Arial" w:hAnsi="Arial" w:cs="Arial"/>
          <w:noProof/>
          <w:color w:val="auto"/>
          <w:sz w:val="24"/>
          <w:szCs w:val="24"/>
          <w:u w:val="none"/>
        </w:rPr>
        <w:t xml:space="preserve">El atributo definitorio se indica en la línea desde el círculo hasta la superclase, y el valor distintivo para cada subclase en la línea desde la subclase hasta el círculo, como se muestra para la especialización año de clase en la figura 7.2(d). Las especializaciones que no están definidas por predicado se dice que son definidas por el usuario, pues el usuario es el responsable de colocar la instancia de entidad en la subclase correcta. En el ejemplo, la especialización de </w:t>
      </w:r>
      <w:proofErr w:type="spellStart"/>
      <w:r w:rsidRPr="000F760B">
        <w:rPr>
          <w:rStyle w:val="Hipervnculo"/>
          <w:rFonts w:ascii="Arial" w:hAnsi="Arial" w:cs="Arial"/>
          <w:noProof/>
          <w:color w:val="auto"/>
          <w:sz w:val="24"/>
          <w:szCs w:val="24"/>
          <w:u w:val="none"/>
        </w:rPr>
        <w:t>Person</w:t>
      </w:r>
      <w:proofErr w:type="spellEnd"/>
      <w:r w:rsidRPr="000F760B">
        <w:rPr>
          <w:rStyle w:val="Hipervnculo"/>
          <w:rFonts w:ascii="Arial" w:hAnsi="Arial" w:cs="Arial"/>
          <w:noProof/>
          <w:color w:val="auto"/>
          <w:sz w:val="24"/>
          <w:szCs w:val="24"/>
          <w:u w:val="none"/>
        </w:rPr>
        <w:t xml:space="preserve"> en </w:t>
      </w:r>
      <w:proofErr w:type="spellStart"/>
      <w:r w:rsidRPr="000F760B">
        <w:rPr>
          <w:rStyle w:val="Hipervnculo"/>
          <w:rFonts w:ascii="Arial" w:hAnsi="Arial" w:cs="Arial"/>
          <w:noProof/>
          <w:color w:val="auto"/>
          <w:sz w:val="24"/>
          <w:szCs w:val="24"/>
          <w:u w:val="none"/>
        </w:rPr>
        <w:t>Faculty</w:t>
      </w:r>
      <w:proofErr w:type="spellEnd"/>
      <w:r w:rsidRPr="000F760B">
        <w:rPr>
          <w:rStyle w:val="Hipervnculo"/>
          <w:rFonts w:ascii="Arial" w:hAnsi="Arial" w:cs="Arial"/>
          <w:noProof/>
          <w:color w:val="auto"/>
          <w:sz w:val="24"/>
          <w:szCs w:val="24"/>
          <w:u w:val="none"/>
        </w:rPr>
        <w:t xml:space="preserve"> y </w:t>
      </w:r>
      <w:proofErr w:type="spellStart"/>
      <w:r w:rsidRPr="000F760B">
        <w:rPr>
          <w:rStyle w:val="Hipervnculo"/>
          <w:rFonts w:ascii="Arial" w:hAnsi="Arial" w:cs="Arial"/>
          <w:noProof/>
          <w:color w:val="auto"/>
          <w:sz w:val="24"/>
          <w:szCs w:val="24"/>
          <w:u w:val="none"/>
        </w:rPr>
        <w:t>Student</w:t>
      </w:r>
      <w:proofErr w:type="spellEnd"/>
      <w:r w:rsidRPr="000F760B">
        <w:rPr>
          <w:rStyle w:val="Hipervnculo"/>
          <w:rFonts w:ascii="Arial" w:hAnsi="Arial" w:cs="Arial"/>
          <w:noProof/>
          <w:color w:val="auto"/>
          <w:sz w:val="24"/>
          <w:szCs w:val="24"/>
          <w:u w:val="none"/>
        </w:rPr>
        <w:t xml:space="preserve">; de </w:t>
      </w:r>
      <w:proofErr w:type="spellStart"/>
      <w:r w:rsidRPr="000F760B">
        <w:rPr>
          <w:rStyle w:val="Hipervnculo"/>
          <w:rFonts w:ascii="Arial" w:hAnsi="Arial" w:cs="Arial"/>
          <w:noProof/>
          <w:color w:val="auto"/>
          <w:sz w:val="24"/>
          <w:szCs w:val="24"/>
          <w:u w:val="none"/>
        </w:rPr>
        <w:t>Faculty</w:t>
      </w:r>
      <w:proofErr w:type="spellEnd"/>
      <w:r w:rsidRPr="000F760B">
        <w:rPr>
          <w:rStyle w:val="Hipervnculo"/>
          <w:rFonts w:ascii="Arial" w:hAnsi="Arial" w:cs="Arial"/>
          <w:noProof/>
          <w:color w:val="auto"/>
          <w:sz w:val="24"/>
          <w:szCs w:val="24"/>
          <w:u w:val="none"/>
        </w:rPr>
        <w:t xml:space="preserve"> en </w:t>
      </w:r>
      <w:proofErr w:type="spellStart"/>
      <w:r w:rsidRPr="000F760B">
        <w:rPr>
          <w:rStyle w:val="Hipervnculo"/>
          <w:rFonts w:ascii="Arial" w:hAnsi="Arial" w:cs="Arial"/>
          <w:noProof/>
          <w:color w:val="auto"/>
          <w:sz w:val="24"/>
          <w:szCs w:val="24"/>
          <w:u w:val="none"/>
        </w:rPr>
        <w:t>Adjunct</w:t>
      </w:r>
      <w:proofErr w:type="spellEnd"/>
      <w:r w:rsidRPr="000F760B">
        <w:rPr>
          <w:rStyle w:val="Hipervnculo"/>
          <w:rFonts w:ascii="Arial" w:hAnsi="Arial" w:cs="Arial"/>
          <w:noProof/>
          <w:color w:val="auto"/>
          <w:sz w:val="24"/>
          <w:szCs w:val="24"/>
          <w:u w:val="none"/>
        </w:rPr>
        <w:t xml:space="preserve"> y </w:t>
      </w:r>
      <w:proofErr w:type="spellStart"/>
      <w:r w:rsidRPr="000F760B">
        <w:rPr>
          <w:rStyle w:val="Hipervnculo"/>
          <w:rFonts w:ascii="Arial" w:hAnsi="Arial" w:cs="Arial"/>
          <w:noProof/>
          <w:color w:val="auto"/>
          <w:sz w:val="24"/>
          <w:szCs w:val="24"/>
          <w:u w:val="none"/>
        </w:rPr>
        <w:t>FullTime</w:t>
      </w:r>
      <w:proofErr w:type="spellEnd"/>
      <w:r w:rsidRPr="000F760B">
        <w:rPr>
          <w:rStyle w:val="Hipervnculo"/>
          <w:rFonts w:ascii="Arial" w:hAnsi="Arial" w:cs="Arial"/>
          <w:noProof/>
          <w:color w:val="auto"/>
          <w:sz w:val="24"/>
          <w:szCs w:val="24"/>
          <w:u w:val="none"/>
        </w:rPr>
        <w:t xml:space="preserve">, y </w:t>
      </w:r>
      <w:proofErr w:type="spellStart"/>
      <w:r w:rsidRPr="000F760B">
        <w:rPr>
          <w:rStyle w:val="Hipervnculo"/>
          <w:rFonts w:ascii="Arial" w:hAnsi="Arial" w:cs="Arial"/>
          <w:noProof/>
          <w:color w:val="auto"/>
          <w:sz w:val="24"/>
          <w:szCs w:val="24"/>
          <w:u w:val="none"/>
        </w:rPr>
        <w:t>Student</w:t>
      </w:r>
      <w:proofErr w:type="spellEnd"/>
      <w:r w:rsidRPr="000F760B">
        <w:rPr>
          <w:rStyle w:val="Hipervnculo"/>
          <w:rFonts w:ascii="Arial" w:hAnsi="Arial" w:cs="Arial"/>
          <w:noProof/>
          <w:color w:val="auto"/>
          <w:sz w:val="24"/>
          <w:szCs w:val="24"/>
          <w:u w:val="none"/>
        </w:rPr>
        <w:t xml:space="preserve"> en </w:t>
      </w:r>
      <w:proofErr w:type="spellStart"/>
      <w:r w:rsidRPr="000F760B">
        <w:rPr>
          <w:rStyle w:val="Hipervnculo"/>
          <w:rFonts w:ascii="Arial" w:hAnsi="Arial" w:cs="Arial"/>
          <w:noProof/>
          <w:color w:val="auto"/>
          <w:sz w:val="24"/>
          <w:szCs w:val="24"/>
          <w:u w:val="none"/>
        </w:rPr>
        <w:t>UnderGraduate</w:t>
      </w:r>
      <w:proofErr w:type="spellEnd"/>
      <w:r w:rsidRPr="000F760B">
        <w:rPr>
          <w:rStyle w:val="Hipervnculo"/>
          <w:rFonts w:ascii="Arial" w:hAnsi="Arial" w:cs="Arial"/>
          <w:noProof/>
          <w:color w:val="auto"/>
          <w:sz w:val="24"/>
          <w:szCs w:val="24"/>
          <w:u w:val="none"/>
        </w:rPr>
        <w:t xml:space="preserve"> y </w:t>
      </w:r>
      <w:proofErr w:type="spellStart"/>
      <w:r w:rsidRPr="000F760B">
        <w:rPr>
          <w:rStyle w:val="Hipervnculo"/>
          <w:rFonts w:ascii="Arial" w:hAnsi="Arial" w:cs="Arial"/>
          <w:noProof/>
          <w:color w:val="auto"/>
          <w:sz w:val="24"/>
          <w:szCs w:val="24"/>
          <w:u w:val="none"/>
        </w:rPr>
        <w:t>Graduate</w:t>
      </w:r>
      <w:proofErr w:type="spellEnd"/>
      <w:r w:rsidRPr="000F760B">
        <w:rPr>
          <w:rStyle w:val="Hipervnculo"/>
          <w:rFonts w:ascii="Arial" w:hAnsi="Arial" w:cs="Arial"/>
          <w:noProof/>
          <w:color w:val="auto"/>
          <w:sz w:val="24"/>
          <w:szCs w:val="24"/>
          <w:u w:val="none"/>
        </w:rPr>
        <w:t xml:space="preserve"> son todas definidas por el usuario.</w:t>
      </w:r>
    </w:p>
    <w:p w:rsidR="000F760B" w:rsidRPr="00D12F9D" w:rsidRDefault="000F760B" w:rsidP="000F760B">
      <w:pPr>
        <w:jc w:val="center"/>
        <w:rPr>
          <w:rStyle w:val="Hipervnculo"/>
          <w:rFonts w:ascii="Arial" w:hAnsi="Arial" w:cs="Arial"/>
          <w:noProof/>
          <w:color w:val="auto"/>
          <w:sz w:val="24"/>
          <w:szCs w:val="24"/>
          <w:u w:val="none"/>
        </w:rPr>
      </w:pPr>
      <w:r>
        <w:rPr>
          <w:noProof/>
        </w:rPr>
        <w:lastRenderedPageBreak/>
        <w:drawing>
          <wp:inline distT="0" distB="0" distL="0" distR="0">
            <wp:extent cx="4004545" cy="2705666"/>
            <wp:effectExtent l="0" t="0" r="0" b="0"/>
            <wp:docPr id="9" name="Imagen 9" descr="https://i.gyazo.com/52c60170e7b3d1477e28365c7c364a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52c60170e7b3d1477e28365c7c364a0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1488" cy="2717113"/>
                    </a:xfrm>
                    <a:prstGeom prst="rect">
                      <a:avLst/>
                    </a:prstGeom>
                    <a:noFill/>
                    <a:ln>
                      <a:noFill/>
                    </a:ln>
                  </pic:spPr>
                </pic:pic>
              </a:graphicData>
            </a:graphic>
          </wp:inline>
        </w:drawing>
      </w:r>
    </w:p>
    <w:p w:rsidR="00A777BB" w:rsidRPr="00D12F9D" w:rsidRDefault="00A777BB"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Cuando no tenemos una condición para determinar los miembros de una subclase, se dice que es de tipo definido por usuario. Los miembros de este tipo de subclase son determinados por los usuarios de la base de</w:t>
      </w:r>
      <w:r w:rsidR="002D2998" w:rsidRPr="00D12F9D">
        <w:rPr>
          <w:rStyle w:val="Hipervnculo"/>
          <w:rFonts w:ascii="Arial" w:hAnsi="Arial" w:cs="Arial"/>
          <w:noProof/>
          <w:color w:val="auto"/>
          <w:sz w:val="24"/>
          <w:szCs w:val="24"/>
          <w:u w:val="none"/>
        </w:rPr>
        <w:t xml:space="preserve"> </w:t>
      </w:r>
      <w:r w:rsidRPr="00D12F9D">
        <w:rPr>
          <w:rStyle w:val="Hipervnculo"/>
          <w:rFonts w:ascii="Arial" w:hAnsi="Arial" w:cs="Arial"/>
          <w:noProof/>
          <w:color w:val="auto"/>
          <w:sz w:val="24"/>
          <w:szCs w:val="24"/>
          <w:u w:val="none"/>
        </w:rPr>
        <w:t>datos cuando aplican la operación para añadir una entidad a la subclase; así pues, los miembros son especificados individualmente por el usuario para cada entidad, y no por una condición que pueda evaluarse automáticamente.</w:t>
      </w:r>
    </w:p>
    <w:p w:rsidR="00A777BB" w:rsidRPr="00D12F9D" w:rsidRDefault="002D2998"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Existen además dos restricciones adicionales que pueden aplicarse a una especialización, estas son:</w:t>
      </w:r>
    </w:p>
    <w:p w:rsidR="002D2998" w:rsidRPr="00D12F9D" w:rsidRDefault="002D2998" w:rsidP="00D12F9D">
      <w:pPr>
        <w:autoSpaceDE w:val="0"/>
        <w:autoSpaceDN w:val="0"/>
        <w:adjustRightInd w:val="0"/>
        <w:spacing w:after="0" w:line="240" w:lineRule="auto"/>
        <w:jc w:val="both"/>
        <w:rPr>
          <w:rFonts w:ascii="Arial" w:hAnsi="Arial" w:cs="Arial"/>
          <w:noProof/>
          <w:sz w:val="24"/>
          <w:szCs w:val="24"/>
        </w:rPr>
      </w:pPr>
    </w:p>
    <w:p w:rsidR="00602800" w:rsidRPr="00D12F9D" w:rsidRDefault="006A46D0" w:rsidP="00D12F9D">
      <w:pPr>
        <w:pStyle w:val="Ttulo2"/>
        <w:jc w:val="both"/>
        <w:rPr>
          <w:rFonts w:ascii="Arial" w:hAnsi="Arial" w:cs="Arial"/>
          <w:b/>
          <w:sz w:val="24"/>
          <w:szCs w:val="24"/>
        </w:rPr>
      </w:pPr>
      <w:bookmarkStart w:id="7" w:name="_Toc494134758"/>
      <w:proofErr w:type="spellStart"/>
      <w:r w:rsidRPr="00D12F9D">
        <w:rPr>
          <w:rFonts w:ascii="Arial" w:hAnsi="Arial" w:cs="Arial"/>
          <w:b/>
          <w:sz w:val="24"/>
          <w:szCs w:val="24"/>
        </w:rPr>
        <w:t>Overlap</w:t>
      </w:r>
      <w:r w:rsidR="002D2998" w:rsidRPr="00D12F9D">
        <w:rPr>
          <w:rFonts w:ascii="Arial" w:hAnsi="Arial" w:cs="Arial"/>
          <w:b/>
          <w:sz w:val="24"/>
          <w:szCs w:val="24"/>
        </w:rPr>
        <w:t>ping</w:t>
      </w:r>
      <w:proofErr w:type="spellEnd"/>
      <w:r w:rsidR="002D2998" w:rsidRPr="00D12F9D">
        <w:rPr>
          <w:rFonts w:ascii="Arial" w:hAnsi="Arial" w:cs="Arial"/>
          <w:b/>
          <w:sz w:val="24"/>
          <w:szCs w:val="24"/>
        </w:rPr>
        <w:t xml:space="preserve"> (</w:t>
      </w:r>
      <w:proofErr w:type="spellStart"/>
      <w:r w:rsidR="002D2998" w:rsidRPr="00D12F9D">
        <w:rPr>
          <w:rFonts w:ascii="Arial" w:hAnsi="Arial" w:cs="Arial"/>
          <w:b/>
          <w:sz w:val="24"/>
          <w:szCs w:val="24"/>
        </w:rPr>
        <w:t>traslapantes</w:t>
      </w:r>
      <w:proofErr w:type="spellEnd"/>
      <w:r w:rsidR="002D2998" w:rsidRPr="00D12F9D">
        <w:rPr>
          <w:rFonts w:ascii="Arial" w:hAnsi="Arial" w:cs="Arial"/>
          <w:b/>
          <w:sz w:val="24"/>
          <w:szCs w:val="24"/>
        </w:rPr>
        <w:t>)</w:t>
      </w:r>
      <w:bookmarkEnd w:id="7"/>
    </w:p>
    <w:p w:rsidR="00907460" w:rsidRPr="00D12F9D" w:rsidRDefault="002D2998"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Si las subclases no están obligadas a estar separadas, su conjunto de entidades pueden solaparse, es decir, la misma entidad podría ser miembro de más de una subclase de la especialización. Este caso, que es el que se produce por defecto, se especifica colocando una o en el círculo, reflejando subclases de traslapamiento.</w:t>
      </w:r>
    </w:p>
    <w:p w:rsidR="002D2998" w:rsidRPr="00D12F9D" w:rsidRDefault="002D2998" w:rsidP="00D12F9D">
      <w:pPr>
        <w:autoSpaceDE w:val="0"/>
        <w:autoSpaceDN w:val="0"/>
        <w:adjustRightInd w:val="0"/>
        <w:spacing w:after="0" w:line="240" w:lineRule="auto"/>
        <w:jc w:val="both"/>
        <w:rPr>
          <w:rStyle w:val="Hipervnculo"/>
          <w:rFonts w:ascii="Arial" w:hAnsi="Arial" w:cs="Arial"/>
          <w:noProof/>
          <w:color w:val="auto"/>
          <w:sz w:val="24"/>
          <w:szCs w:val="24"/>
          <w:u w:val="none"/>
        </w:rPr>
      </w:pPr>
    </w:p>
    <w:p w:rsidR="00BC6AA4" w:rsidRPr="00D12F9D" w:rsidRDefault="006A46D0" w:rsidP="00D12F9D">
      <w:pPr>
        <w:pStyle w:val="Ttulo2"/>
        <w:jc w:val="both"/>
        <w:rPr>
          <w:rFonts w:ascii="Arial" w:eastAsiaTheme="minorHAnsi" w:hAnsi="Arial" w:cs="Arial"/>
          <w:b/>
          <w:color w:val="auto"/>
          <w:sz w:val="24"/>
          <w:szCs w:val="24"/>
        </w:rPr>
      </w:pPr>
      <w:bookmarkStart w:id="8" w:name="_Toc494134759"/>
      <w:proofErr w:type="spellStart"/>
      <w:r w:rsidRPr="00D12F9D">
        <w:rPr>
          <w:rFonts w:ascii="Arial" w:hAnsi="Arial" w:cs="Arial"/>
          <w:b/>
          <w:sz w:val="24"/>
          <w:szCs w:val="24"/>
        </w:rPr>
        <w:t>Disj</w:t>
      </w:r>
      <w:r w:rsidR="0098799A" w:rsidRPr="00D12F9D">
        <w:rPr>
          <w:rFonts w:ascii="Arial" w:hAnsi="Arial" w:cs="Arial"/>
          <w:b/>
          <w:sz w:val="24"/>
          <w:szCs w:val="24"/>
        </w:rPr>
        <w:t>ointness</w:t>
      </w:r>
      <w:proofErr w:type="spellEnd"/>
      <w:r w:rsidR="002D2998" w:rsidRPr="00D12F9D">
        <w:rPr>
          <w:rFonts w:ascii="Arial" w:hAnsi="Arial" w:cs="Arial"/>
          <w:b/>
          <w:sz w:val="24"/>
          <w:szCs w:val="24"/>
        </w:rPr>
        <w:t xml:space="preserve"> (disyunción)</w:t>
      </w:r>
      <w:bookmarkEnd w:id="8"/>
    </w:p>
    <w:p w:rsidR="002D2998" w:rsidRPr="00D12F9D" w:rsidRDefault="002D2998"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La cual especifica que las subclases de la especialización deben estar separadas. Esto significa que una entidad puede ser, como máximo, miembro de una de las subclases de la especialización.</w:t>
      </w:r>
    </w:p>
    <w:p w:rsidR="00BC6AA4" w:rsidRPr="00D12F9D" w:rsidRDefault="002D2998"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Una especialización de tipo atributo-definido implica la restricción de disyunción en el caso de que el atributo utilizado para definir el predicado de agrupación sea de un solo valor, o monovalor.</w:t>
      </w:r>
    </w:p>
    <w:p w:rsidR="002D2998" w:rsidRPr="00D12F9D" w:rsidRDefault="002D2998" w:rsidP="00D12F9D">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La d, en este caso indica subclases de desarticulación, incluida en el círculo simboliza la separación. También se utiliza este símbolo para especificar que las subclases de una especialización definidas por el usuario deben ser del mismo tipo.</w:t>
      </w:r>
    </w:p>
    <w:p w:rsidR="002D2998" w:rsidRPr="00D12F9D" w:rsidRDefault="002D2998" w:rsidP="00D12F9D">
      <w:pPr>
        <w:jc w:val="both"/>
        <w:rPr>
          <w:rStyle w:val="Hipervnculo"/>
          <w:rFonts w:ascii="Arial" w:hAnsi="Arial" w:cs="Arial"/>
          <w:noProof/>
          <w:color w:val="auto"/>
          <w:sz w:val="24"/>
          <w:szCs w:val="24"/>
          <w:u w:val="none"/>
        </w:rPr>
      </w:pPr>
    </w:p>
    <w:p w:rsidR="002D2998" w:rsidRDefault="006D4DE5" w:rsidP="006D4DE5">
      <w:pPr>
        <w:jc w:val="both"/>
        <w:rPr>
          <w:rStyle w:val="Hipervnculo"/>
          <w:rFonts w:ascii="Arial" w:hAnsi="Arial" w:cs="Arial"/>
          <w:noProof/>
          <w:color w:val="auto"/>
          <w:sz w:val="24"/>
          <w:szCs w:val="24"/>
          <w:u w:val="none"/>
        </w:rPr>
      </w:pPr>
      <w:r w:rsidRPr="006D4DE5">
        <w:rPr>
          <w:rStyle w:val="Hipervnculo"/>
          <w:rFonts w:ascii="Arial" w:hAnsi="Arial" w:cs="Arial"/>
          <w:noProof/>
          <w:color w:val="auto"/>
          <w:sz w:val="24"/>
          <w:szCs w:val="24"/>
          <w:u w:val="none"/>
        </w:rPr>
        <w:t>Por ejemplo, dado que un docente no puede ser tanto adjunto como de tiempo</w:t>
      </w:r>
      <w:r>
        <w:rPr>
          <w:rStyle w:val="Hipervnculo"/>
          <w:rFonts w:ascii="Arial" w:hAnsi="Arial" w:cs="Arial"/>
          <w:noProof/>
          <w:color w:val="auto"/>
          <w:sz w:val="24"/>
          <w:szCs w:val="24"/>
          <w:u w:val="none"/>
        </w:rPr>
        <w:t xml:space="preserve"> </w:t>
      </w:r>
      <w:r w:rsidRPr="006D4DE5">
        <w:rPr>
          <w:rStyle w:val="Hipervnculo"/>
          <w:rFonts w:ascii="Arial" w:hAnsi="Arial" w:cs="Arial"/>
          <w:noProof/>
          <w:color w:val="auto"/>
          <w:sz w:val="24"/>
          <w:szCs w:val="24"/>
          <w:u w:val="none"/>
        </w:rPr>
        <w:t>completo, se coloca una d en el círculo para dicha especialización, como se muestra en</w:t>
      </w:r>
      <w:r>
        <w:rPr>
          <w:rStyle w:val="Hipervnculo"/>
          <w:rFonts w:ascii="Arial" w:hAnsi="Arial" w:cs="Arial"/>
          <w:noProof/>
          <w:color w:val="auto"/>
          <w:sz w:val="24"/>
          <w:szCs w:val="24"/>
          <w:u w:val="none"/>
        </w:rPr>
        <w:t xml:space="preserve"> </w:t>
      </w:r>
      <w:r w:rsidRPr="006D4DE5">
        <w:rPr>
          <w:rStyle w:val="Hipervnculo"/>
          <w:rFonts w:ascii="Arial" w:hAnsi="Arial" w:cs="Arial"/>
          <w:noProof/>
          <w:color w:val="auto"/>
          <w:sz w:val="24"/>
          <w:szCs w:val="24"/>
          <w:u w:val="none"/>
        </w:rPr>
        <w:t>la esquina inferior izquierda de la figura 7.2(a). En el círculo de especialización de Person</w:t>
      </w:r>
      <w:r>
        <w:rPr>
          <w:rStyle w:val="Hipervnculo"/>
          <w:rFonts w:ascii="Arial" w:hAnsi="Arial" w:cs="Arial"/>
          <w:noProof/>
          <w:color w:val="auto"/>
          <w:sz w:val="24"/>
          <w:szCs w:val="24"/>
          <w:u w:val="none"/>
        </w:rPr>
        <w:t xml:space="preserve"> </w:t>
      </w:r>
      <w:r w:rsidRPr="006D4DE5">
        <w:rPr>
          <w:rStyle w:val="Hipervnculo"/>
          <w:rFonts w:ascii="Arial" w:hAnsi="Arial" w:cs="Arial"/>
          <w:noProof/>
          <w:color w:val="auto"/>
          <w:sz w:val="24"/>
          <w:szCs w:val="24"/>
          <w:u w:val="none"/>
        </w:rPr>
        <w:t>se colocó una o en Faculty y Student para indicar que una persona puede ser tanto</w:t>
      </w:r>
      <w:r>
        <w:rPr>
          <w:rStyle w:val="Hipervnculo"/>
          <w:rFonts w:ascii="Arial" w:hAnsi="Arial" w:cs="Arial"/>
          <w:noProof/>
          <w:color w:val="auto"/>
          <w:sz w:val="24"/>
          <w:szCs w:val="24"/>
          <w:u w:val="none"/>
        </w:rPr>
        <w:t xml:space="preserve"> </w:t>
      </w:r>
      <w:r w:rsidRPr="006D4DE5">
        <w:rPr>
          <w:rStyle w:val="Hipervnculo"/>
          <w:rFonts w:ascii="Arial" w:hAnsi="Arial" w:cs="Arial"/>
          <w:noProof/>
          <w:color w:val="auto"/>
          <w:sz w:val="24"/>
          <w:szCs w:val="24"/>
          <w:u w:val="none"/>
        </w:rPr>
        <w:t>miembro del personal docente como estudiante. Se supone, sólo para este diagrama, que un</w:t>
      </w:r>
      <w:r>
        <w:rPr>
          <w:rStyle w:val="Hipervnculo"/>
          <w:rFonts w:ascii="Arial" w:hAnsi="Arial" w:cs="Arial"/>
          <w:noProof/>
          <w:color w:val="auto"/>
          <w:sz w:val="24"/>
          <w:szCs w:val="24"/>
          <w:u w:val="none"/>
        </w:rPr>
        <w:t xml:space="preserve"> </w:t>
      </w:r>
      <w:r w:rsidRPr="006D4DE5">
        <w:rPr>
          <w:rStyle w:val="Hipervnculo"/>
          <w:rFonts w:ascii="Arial" w:hAnsi="Arial" w:cs="Arial"/>
          <w:noProof/>
          <w:color w:val="auto"/>
          <w:sz w:val="24"/>
          <w:szCs w:val="24"/>
          <w:u w:val="none"/>
        </w:rPr>
        <w:t>docente puede ser capaz de tomar cursos de posgrado, por ejemplo, y en consecuencia</w:t>
      </w:r>
      <w:r>
        <w:rPr>
          <w:rStyle w:val="Hipervnculo"/>
          <w:rFonts w:ascii="Arial" w:hAnsi="Arial" w:cs="Arial"/>
          <w:noProof/>
          <w:color w:val="auto"/>
          <w:sz w:val="24"/>
          <w:szCs w:val="24"/>
          <w:u w:val="none"/>
        </w:rPr>
        <w:t xml:space="preserve"> </w:t>
      </w:r>
      <w:r w:rsidRPr="006D4DE5">
        <w:rPr>
          <w:rStyle w:val="Hipervnculo"/>
          <w:rFonts w:ascii="Arial" w:hAnsi="Arial" w:cs="Arial"/>
          <w:noProof/>
          <w:color w:val="auto"/>
          <w:sz w:val="24"/>
          <w:szCs w:val="24"/>
          <w:u w:val="none"/>
        </w:rPr>
        <w:t>podría ser un miembro del conjunto de entidades Student, así como del conjunto</w:t>
      </w:r>
      <w:r>
        <w:rPr>
          <w:rStyle w:val="Hipervnculo"/>
          <w:rFonts w:ascii="Arial" w:hAnsi="Arial" w:cs="Arial"/>
          <w:noProof/>
          <w:color w:val="auto"/>
          <w:sz w:val="24"/>
          <w:szCs w:val="24"/>
          <w:u w:val="none"/>
        </w:rPr>
        <w:t xml:space="preserve"> </w:t>
      </w:r>
      <w:r w:rsidRPr="006D4DE5">
        <w:rPr>
          <w:rStyle w:val="Hipervnculo"/>
          <w:rFonts w:ascii="Arial" w:hAnsi="Arial" w:cs="Arial"/>
          <w:noProof/>
          <w:color w:val="auto"/>
          <w:sz w:val="24"/>
          <w:szCs w:val="24"/>
          <w:u w:val="none"/>
        </w:rPr>
        <w:t>Faculty.</w:t>
      </w:r>
    </w:p>
    <w:p w:rsidR="006D4DE5" w:rsidRPr="006D4DE5" w:rsidRDefault="006D4DE5" w:rsidP="006D4DE5">
      <w:pPr>
        <w:jc w:val="both"/>
        <w:rPr>
          <w:rStyle w:val="Hipervnculo"/>
          <w:rFonts w:ascii="Arial" w:hAnsi="Arial" w:cs="Arial"/>
          <w:noProof/>
          <w:color w:val="auto"/>
          <w:sz w:val="24"/>
          <w:szCs w:val="24"/>
          <w:u w:val="none"/>
        </w:rPr>
      </w:pPr>
    </w:p>
    <w:p w:rsidR="006D4DE5" w:rsidRDefault="006D4DE5" w:rsidP="006D4DE5">
      <w:pPr>
        <w:autoSpaceDE w:val="0"/>
        <w:autoSpaceDN w:val="0"/>
        <w:adjustRightInd w:val="0"/>
        <w:spacing w:after="0" w:line="240" w:lineRule="auto"/>
        <w:jc w:val="center"/>
        <w:rPr>
          <w:rStyle w:val="Hipervnculo"/>
          <w:rFonts w:ascii="Arial" w:hAnsi="Arial" w:cs="Arial"/>
          <w:noProof/>
          <w:color w:val="auto"/>
          <w:sz w:val="24"/>
          <w:szCs w:val="24"/>
          <w:u w:val="none"/>
        </w:rPr>
      </w:pPr>
      <w:r>
        <w:rPr>
          <w:noProof/>
        </w:rPr>
        <w:drawing>
          <wp:inline distT="0" distB="0" distL="0" distR="0">
            <wp:extent cx="5612130" cy="3840132"/>
            <wp:effectExtent l="0" t="0" r="7620" b="8255"/>
            <wp:docPr id="6" name="Imagen 6" descr="https://i.gyazo.com/16c4fd25622f2a61386dc140838435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16c4fd25622f2a61386dc140838435b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3840132"/>
                    </a:xfrm>
                    <a:prstGeom prst="rect">
                      <a:avLst/>
                    </a:prstGeom>
                    <a:noFill/>
                    <a:ln>
                      <a:noFill/>
                    </a:ln>
                  </pic:spPr>
                </pic:pic>
              </a:graphicData>
            </a:graphic>
          </wp:inline>
        </w:drawing>
      </w:r>
    </w:p>
    <w:p w:rsidR="000F760B" w:rsidRDefault="000F760B" w:rsidP="006D4DE5">
      <w:pPr>
        <w:autoSpaceDE w:val="0"/>
        <w:autoSpaceDN w:val="0"/>
        <w:adjustRightInd w:val="0"/>
        <w:spacing w:after="0" w:line="240" w:lineRule="auto"/>
        <w:jc w:val="center"/>
        <w:rPr>
          <w:rStyle w:val="Hipervnculo"/>
          <w:rFonts w:ascii="Arial" w:hAnsi="Arial" w:cs="Arial"/>
          <w:noProof/>
          <w:color w:val="auto"/>
          <w:sz w:val="24"/>
          <w:szCs w:val="24"/>
          <w:u w:val="none"/>
        </w:rPr>
      </w:pPr>
    </w:p>
    <w:p w:rsidR="000F760B" w:rsidRDefault="000F760B" w:rsidP="000F760B">
      <w:pPr>
        <w:jc w:val="both"/>
        <w:rPr>
          <w:rStyle w:val="Hipervnculo"/>
          <w:rFonts w:ascii="Arial" w:hAnsi="Arial" w:cs="Arial"/>
          <w:noProof/>
          <w:color w:val="auto"/>
          <w:sz w:val="24"/>
          <w:szCs w:val="24"/>
          <w:u w:val="none"/>
        </w:rPr>
      </w:pPr>
      <w:r w:rsidRPr="00D12F9D">
        <w:rPr>
          <w:rStyle w:val="Hipervnculo"/>
          <w:rFonts w:ascii="Arial" w:hAnsi="Arial" w:cs="Arial"/>
          <w:noProof/>
          <w:color w:val="auto"/>
          <w:sz w:val="24"/>
          <w:szCs w:val="24"/>
          <w:u w:val="none"/>
        </w:rPr>
        <w:t>Una especialización también tiene una restricción de completud (completeness), que muestra si todo miembro del conjunto de entidades debe participar en ella. Si todo miembro de la superclase debe pertenecer a alguna subclase se tiene una especialización total, la cual se muestra como una doble línea en el diagrama. Si a algunos miembros de la superclase no se les puede permitir pertenecer a alguna subclase, la especialización es parcial.</w:t>
      </w:r>
    </w:p>
    <w:p w:rsidR="000F760B" w:rsidRDefault="000F760B" w:rsidP="000F760B">
      <w:pPr>
        <w:jc w:val="both"/>
        <w:rPr>
          <w:rStyle w:val="Hipervnculo"/>
          <w:rFonts w:ascii="Arial" w:hAnsi="Arial" w:cs="Arial"/>
          <w:noProof/>
          <w:color w:val="auto"/>
          <w:sz w:val="24"/>
          <w:szCs w:val="24"/>
          <w:u w:val="none"/>
        </w:rPr>
      </w:pPr>
      <w:r w:rsidRPr="000F760B">
        <w:rPr>
          <w:rStyle w:val="Hipervnculo"/>
          <w:rFonts w:ascii="Arial" w:hAnsi="Arial" w:cs="Arial"/>
          <w:noProof/>
          <w:color w:val="auto"/>
          <w:sz w:val="24"/>
          <w:szCs w:val="24"/>
          <w:u w:val="none"/>
        </w:rPr>
        <w:t>Por ejemplo, dado que todo miembro del personal docente debe</w:t>
      </w:r>
      <w:r>
        <w:rPr>
          <w:rStyle w:val="Hipervnculo"/>
          <w:rFonts w:ascii="Arial" w:hAnsi="Arial" w:cs="Arial"/>
          <w:noProof/>
          <w:color w:val="auto"/>
          <w:sz w:val="24"/>
          <w:szCs w:val="24"/>
          <w:u w:val="none"/>
        </w:rPr>
        <w:t xml:space="preserve"> </w:t>
      </w:r>
      <w:r w:rsidRPr="000F760B">
        <w:rPr>
          <w:rStyle w:val="Hipervnculo"/>
          <w:rFonts w:ascii="Arial" w:hAnsi="Arial" w:cs="Arial"/>
          <w:noProof/>
          <w:color w:val="auto"/>
          <w:sz w:val="24"/>
          <w:szCs w:val="24"/>
          <w:u w:val="none"/>
        </w:rPr>
        <w:t>ser o AdjunctFac o FullTimeFac, se tiene especialización total. En la figura 7.2(b) esto</w:t>
      </w:r>
      <w:r>
        <w:rPr>
          <w:rStyle w:val="Hipervnculo"/>
          <w:rFonts w:ascii="Arial" w:hAnsi="Arial" w:cs="Arial"/>
          <w:noProof/>
          <w:color w:val="auto"/>
          <w:sz w:val="24"/>
          <w:szCs w:val="24"/>
          <w:u w:val="none"/>
        </w:rPr>
        <w:t xml:space="preserve"> </w:t>
      </w:r>
      <w:r w:rsidRPr="000F760B">
        <w:rPr>
          <w:rStyle w:val="Hipervnculo"/>
          <w:rFonts w:ascii="Arial" w:hAnsi="Arial" w:cs="Arial"/>
          <w:noProof/>
          <w:color w:val="auto"/>
          <w:sz w:val="24"/>
          <w:szCs w:val="24"/>
          <w:u w:val="none"/>
        </w:rPr>
        <w:t>se indica mediante la línea doble que conecta la superclase, Faculty, al círculo de especialización</w:t>
      </w:r>
      <w:r>
        <w:rPr>
          <w:rStyle w:val="Hipervnculo"/>
          <w:rFonts w:ascii="Arial" w:hAnsi="Arial" w:cs="Arial"/>
          <w:noProof/>
          <w:color w:val="auto"/>
          <w:sz w:val="24"/>
          <w:szCs w:val="24"/>
          <w:u w:val="none"/>
        </w:rPr>
        <w:t xml:space="preserve"> </w:t>
      </w:r>
      <w:r w:rsidRPr="000F760B">
        <w:rPr>
          <w:rStyle w:val="Hipervnculo"/>
          <w:rFonts w:ascii="Arial" w:hAnsi="Arial" w:cs="Arial"/>
          <w:noProof/>
          <w:color w:val="auto"/>
          <w:sz w:val="24"/>
          <w:szCs w:val="24"/>
          <w:u w:val="none"/>
        </w:rPr>
        <w:t xml:space="preserve">en la esquina inferior izquierda del diagrama. La línea sencilla que </w:t>
      </w:r>
      <w:r w:rsidRPr="000F760B">
        <w:rPr>
          <w:rStyle w:val="Hipervnculo"/>
          <w:rFonts w:ascii="Arial" w:hAnsi="Arial" w:cs="Arial"/>
          <w:noProof/>
          <w:color w:val="auto"/>
          <w:sz w:val="24"/>
          <w:szCs w:val="24"/>
          <w:u w:val="none"/>
        </w:rPr>
        <w:lastRenderedPageBreak/>
        <w:t>conecta Person</w:t>
      </w:r>
      <w:r>
        <w:rPr>
          <w:rStyle w:val="Hipervnculo"/>
          <w:rFonts w:ascii="Arial" w:hAnsi="Arial" w:cs="Arial"/>
          <w:noProof/>
          <w:color w:val="auto"/>
          <w:sz w:val="24"/>
          <w:szCs w:val="24"/>
          <w:u w:val="none"/>
        </w:rPr>
        <w:t xml:space="preserve"> </w:t>
      </w:r>
      <w:r w:rsidRPr="000F760B">
        <w:rPr>
          <w:rStyle w:val="Hipervnculo"/>
          <w:rFonts w:ascii="Arial" w:hAnsi="Arial" w:cs="Arial"/>
          <w:noProof/>
          <w:color w:val="auto"/>
          <w:sz w:val="24"/>
          <w:szCs w:val="24"/>
          <w:u w:val="none"/>
        </w:rPr>
        <w:t>con su círculo de especialización indica que la especialización en Faculty y</w:t>
      </w:r>
      <w:r>
        <w:rPr>
          <w:rStyle w:val="Hipervnculo"/>
          <w:rFonts w:ascii="Arial" w:hAnsi="Arial" w:cs="Arial"/>
          <w:noProof/>
          <w:color w:val="auto"/>
          <w:sz w:val="24"/>
          <w:szCs w:val="24"/>
          <w:u w:val="none"/>
        </w:rPr>
        <w:t xml:space="preserve"> </w:t>
      </w:r>
      <w:r w:rsidRPr="000F760B">
        <w:rPr>
          <w:rStyle w:val="Hipervnculo"/>
          <w:rFonts w:ascii="Arial" w:hAnsi="Arial" w:cs="Arial"/>
          <w:noProof/>
          <w:color w:val="auto"/>
          <w:sz w:val="24"/>
          <w:szCs w:val="24"/>
          <w:u w:val="none"/>
        </w:rPr>
        <w:t>Student es parcial. Puede haber algunas entidades Person que no son docentes ni estudiantes.</w:t>
      </w:r>
      <w:r>
        <w:rPr>
          <w:rStyle w:val="Hipervnculo"/>
          <w:rFonts w:ascii="Arial" w:hAnsi="Arial" w:cs="Arial"/>
          <w:noProof/>
          <w:color w:val="auto"/>
          <w:sz w:val="24"/>
          <w:szCs w:val="24"/>
          <w:u w:val="none"/>
        </w:rPr>
        <w:t xml:space="preserve"> </w:t>
      </w:r>
      <w:r w:rsidRPr="000F760B">
        <w:rPr>
          <w:rStyle w:val="Hipervnculo"/>
          <w:rFonts w:ascii="Arial" w:hAnsi="Arial" w:cs="Arial"/>
          <w:noProof/>
          <w:color w:val="auto"/>
          <w:sz w:val="24"/>
          <w:szCs w:val="24"/>
          <w:u w:val="none"/>
        </w:rPr>
        <w:t>La línea doble abajo de Student indica una especialización total en graduado o</w:t>
      </w:r>
      <w:r>
        <w:rPr>
          <w:rStyle w:val="Hipervnculo"/>
          <w:rFonts w:ascii="Arial" w:hAnsi="Arial" w:cs="Arial"/>
          <w:noProof/>
          <w:color w:val="auto"/>
          <w:sz w:val="24"/>
          <w:szCs w:val="24"/>
          <w:u w:val="none"/>
        </w:rPr>
        <w:t xml:space="preserve"> </w:t>
      </w:r>
      <w:r w:rsidRPr="000F760B">
        <w:rPr>
          <w:rStyle w:val="Hipervnculo"/>
          <w:rFonts w:ascii="Arial" w:hAnsi="Arial" w:cs="Arial"/>
          <w:noProof/>
          <w:color w:val="auto"/>
          <w:sz w:val="24"/>
          <w:szCs w:val="24"/>
          <w:u w:val="none"/>
        </w:rPr>
        <w:t>pregrado. La línea doble debajo de pregrado muestra una especialización total en años clase,</w:t>
      </w:r>
      <w:r>
        <w:rPr>
          <w:rStyle w:val="Hipervnculo"/>
          <w:rFonts w:ascii="Arial" w:hAnsi="Arial" w:cs="Arial"/>
          <w:noProof/>
          <w:color w:val="auto"/>
          <w:sz w:val="24"/>
          <w:szCs w:val="24"/>
          <w:u w:val="none"/>
        </w:rPr>
        <w:t xml:space="preserve"> </w:t>
      </w:r>
      <w:r w:rsidRPr="000F760B">
        <w:rPr>
          <w:rStyle w:val="Hipervnculo"/>
          <w:rFonts w:ascii="Arial" w:hAnsi="Arial" w:cs="Arial"/>
          <w:noProof/>
          <w:color w:val="auto"/>
          <w:sz w:val="24"/>
          <w:szCs w:val="24"/>
          <w:u w:val="none"/>
        </w:rPr>
        <w:t>lo que implica que todo estudiante de pregrado debe pertenecer a uno de los años clase.</w:t>
      </w:r>
    </w:p>
    <w:p w:rsidR="000F760B" w:rsidRPr="00D12F9D" w:rsidRDefault="000F760B" w:rsidP="000F760B">
      <w:pPr>
        <w:autoSpaceDE w:val="0"/>
        <w:autoSpaceDN w:val="0"/>
        <w:adjustRightInd w:val="0"/>
        <w:spacing w:after="0" w:line="240" w:lineRule="auto"/>
        <w:jc w:val="center"/>
        <w:rPr>
          <w:rStyle w:val="Hipervnculo"/>
          <w:rFonts w:ascii="Arial" w:hAnsi="Arial" w:cs="Arial"/>
          <w:noProof/>
          <w:color w:val="auto"/>
          <w:sz w:val="24"/>
          <w:szCs w:val="24"/>
          <w:u w:val="none"/>
        </w:rPr>
      </w:pPr>
      <w:r>
        <w:rPr>
          <w:noProof/>
        </w:rPr>
        <w:drawing>
          <wp:inline distT="0" distB="0" distL="0" distR="0">
            <wp:extent cx="5612130" cy="3934200"/>
            <wp:effectExtent l="0" t="0" r="7620" b="9525"/>
            <wp:docPr id="7" name="Imagen 7" descr="https://i.gyazo.com/0e25de81fc349739a3c4166245a59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0e25de81fc349739a3c4166245a593b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3934200"/>
                    </a:xfrm>
                    <a:prstGeom prst="rect">
                      <a:avLst/>
                    </a:prstGeom>
                    <a:noFill/>
                    <a:ln>
                      <a:noFill/>
                    </a:ln>
                  </pic:spPr>
                </pic:pic>
              </a:graphicData>
            </a:graphic>
          </wp:inline>
        </w:drawing>
      </w:r>
    </w:p>
    <w:p w:rsidR="00A15681" w:rsidRPr="00D12F9D" w:rsidRDefault="00A15681" w:rsidP="006D4DE5">
      <w:pPr>
        <w:spacing w:line="259" w:lineRule="auto"/>
        <w:jc w:val="both"/>
        <w:rPr>
          <w:rFonts w:ascii="Arial" w:hAnsi="Arial" w:cs="Arial"/>
          <w:sz w:val="24"/>
          <w:szCs w:val="24"/>
        </w:rPr>
      </w:pPr>
    </w:p>
    <w:p w:rsidR="006A46D0" w:rsidRPr="00D12F9D" w:rsidRDefault="006A46D0" w:rsidP="00D12F9D">
      <w:pPr>
        <w:autoSpaceDE w:val="0"/>
        <w:autoSpaceDN w:val="0"/>
        <w:adjustRightInd w:val="0"/>
        <w:spacing w:after="0" w:line="240" w:lineRule="auto"/>
        <w:jc w:val="both"/>
        <w:rPr>
          <w:rFonts w:ascii="Arial" w:hAnsi="Arial" w:cs="Arial"/>
          <w:sz w:val="24"/>
          <w:szCs w:val="24"/>
        </w:rPr>
      </w:pPr>
      <w:r w:rsidRPr="00D12F9D">
        <w:rPr>
          <w:rFonts w:ascii="Arial" w:hAnsi="Arial" w:cs="Arial"/>
          <w:sz w:val="24"/>
          <w:szCs w:val="24"/>
        </w:rPr>
        <w:br w:type="page"/>
      </w:r>
    </w:p>
    <w:p w:rsidR="00602800" w:rsidRPr="00D12F9D" w:rsidRDefault="00602800" w:rsidP="00D12F9D">
      <w:pPr>
        <w:pStyle w:val="Ttulo1"/>
        <w:jc w:val="both"/>
        <w:rPr>
          <w:rFonts w:ascii="Arial" w:hAnsi="Arial" w:cs="Arial"/>
          <w:b/>
          <w:sz w:val="28"/>
          <w:szCs w:val="28"/>
        </w:rPr>
      </w:pPr>
      <w:bookmarkStart w:id="9" w:name="_Toc494134760"/>
      <w:r w:rsidRPr="00D12F9D">
        <w:rPr>
          <w:rFonts w:ascii="Arial" w:hAnsi="Arial" w:cs="Arial"/>
          <w:b/>
          <w:sz w:val="28"/>
          <w:szCs w:val="28"/>
        </w:rPr>
        <w:lastRenderedPageBreak/>
        <w:t>Referencias</w:t>
      </w:r>
      <w:bookmarkEnd w:id="9"/>
    </w:p>
    <w:p w:rsidR="00001930" w:rsidRDefault="00BC6AA4" w:rsidP="00001930">
      <w:pPr>
        <w:pStyle w:val="NormalWeb"/>
        <w:spacing w:before="0" w:beforeAutospacing="0" w:after="180" w:afterAutospacing="0"/>
        <w:ind w:left="450" w:hanging="450"/>
        <w:jc w:val="both"/>
        <w:rPr>
          <w:color w:val="000000"/>
        </w:rPr>
      </w:pPr>
      <w:proofErr w:type="spellStart"/>
      <w:r w:rsidRPr="00D12F9D">
        <w:rPr>
          <w:rFonts w:ascii="Arial" w:eastAsiaTheme="minorHAnsi" w:hAnsi="Arial" w:cs="Arial"/>
          <w:lang w:eastAsia="en-US"/>
        </w:rPr>
        <w:t>Ramez</w:t>
      </w:r>
      <w:proofErr w:type="spellEnd"/>
      <w:r w:rsidRPr="00D12F9D">
        <w:rPr>
          <w:rFonts w:ascii="Arial" w:eastAsiaTheme="minorHAnsi" w:hAnsi="Arial" w:cs="Arial"/>
          <w:lang w:eastAsia="en-US"/>
        </w:rPr>
        <w:t xml:space="preserve">, E., &amp; </w:t>
      </w:r>
      <w:proofErr w:type="spellStart"/>
      <w:r w:rsidRPr="00D12F9D">
        <w:rPr>
          <w:rFonts w:ascii="Arial" w:eastAsiaTheme="minorHAnsi" w:hAnsi="Arial" w:cs="Arial"/>
          <w:lang w:eastAsia="en-US"/>
        </w:rPr>
        <w:t>Navathe</w:t>
      </w:r>
      <w:proofErr w:type="spellEnd"/>
      <w:r w:rsidRPr="00D12F9D">
        <w:rPr>
          <w:rFonts w:ascii="Arial" w:eastAsiaTheme="minorHAnsi" w:hAnsi="Arial" w:cs="Arial"/>
          <w:lang w:eastAsia="en-US"/>
        </w:rPr>
        <w:t>, S. (2000). </w:t>
      </w:r>
      <w:r w:rsidRPr="00D12F9D">
        <w:rPr>
          <w:rFonts w:ascii="Arial" w:eastAsiaTheme="minorHAnsi" w:hAnsi="Arial" w:cs="Arial"/>
          <w:i/>
          <w:lang w:eastAsia="en-US"/>
        </w:rPr>
        <w:t>Sistemas de Bases de Datos: Conceptos Fundamentales</w:t>
      </w:r>
      <w:r w:rsidRPr="00D12F9D">
        <w:rPr>
          <w:rFonts w:ascii="Arial" w:eastAsiaTheme="minorHAnsi" w:hAnsi="Arial" w:cs="Arial"/>
          <w:lang w:eastAsia="en-US"/>
        </w:rPr>
        <w:t> (1st ed.). México: Pearson Educación.</w:t>
      </w:r>
    </w:p>
    <w:p w:rsidR="00001930" w:rsidRPr="00001930" w:rsidRDefault="00001930" w:rsidP="00001930">
      <w:pPr>
        <w:pStyle w:val="NormalWeb"/>
        <w:spacing w:before="0" w:beforeAutospacing="0" w:after="180" w:afterAutospacing="0"/>
        <w:ind w:left="450" w:hanging="450"/>
        <w:rPr>
          <w:rFonts w:ascii="Arial" w:eastAsiaTheme="minorHAnsi" w:hAnsi="Arial" w:cs="Arial"/>
          <w:lang w:eastAsia="en-US"/>
        </w:rPr>
      </w:pPr>
      <w:r w:rsidRPr="00001930">
        <w:rPr>
          <w:rFonts w:ascii="Arial" w:eastAsiaTheme="minorHAnsi" w:hAnsi="Arial" w:cs="Arial"/>
          <w:lang w:eastAsia="en-US"/>
        </w:rPr>
        <w:t xml:space="preserve">Ricardo, C., Campos </w:t>
      </w:r>
      <w:proofErr w:type="spellStart"/>
      <w:r w:rsidRPr="00001930">
        <w:rPr>
          <w:rFonts w:ascii="Arial" w:eastAsiaTheme="minorHAnsi" w:hAnsi="Arial" w:cs="Arial"/>
          <w:lang w:eastAsia="en-US"/>
        </w:rPr>
        <w:t>Olguín</w:t>
      </w:r>
      <w:proofErr w:type="spellEnd"/>
      <w:r w:rsidRPr="00001930">
        <w:rPr>
          <w:rFonts w:ascii="Arial" w:eastAsiaTheme="minorHAnsi" w:hAnsi="Arial" w:cs="Arial"/>
          <w:lang w:eastAsia="en-US"/>
        </w:rPr>
        <w:t xml:space="preserve">, V., &amp; </w:t>
      </w:r>
      <w:proofErr w:type="spellStart"/>
      <w:r w:rsidRPr="00001930">
        <w:rPr>
          <w:rFonts w:ascii="Arial" w:eastAsiaTheme="minorHAnsi" w:hAnsi="Arial" w:cs="Arial"/>
          <w:lang w:eastAsia="en-US"/>
        </w:rPr>
        <w:t>Enríquez</w:t>
      </w:r>
      <w:proofErr w:type="spellEnd"/>
      <w:r w:rsidRPr="00001930">
        <w:rPr>
          <w:rFonts w:ascii="Arial" w:eastAsiaTheme="minorHAnsi" w:hAnsi="Arial" w:cs="Arial"/>
          <w:lang w:eastAsia="en-US"/>
        </w:rPr>
        <w:t xml:space="preserve"> Brito, J. (2010). </w:t>
      </w:r>
      <w:r w:rsidRPr="00001930">
        <w:rPr>
          <w:rFonts w:ascii="Arial" w:eastAsiaTheme="minorHAnsi" w:hAnsi="Arial" w:cs="Arial"/>
          <w:i/>
          <w:lang w:eastAsia="en-US"/>
        </w:rPr>
        <w:t>Bases de datos</w:t>
      </w:r>
      <w:r>
        <w:rPr>
          <w:rFonts w:ascii="Arial" w:eastAsiaTheme="minorHAnsi" w:hAnsi="Arial" w:cs="Arial"/>
          <w:lang w:eastAsia="en-US"/>
        </w:rPr>
        <w:t xml:space="preserve">. </w:t>
      </w:r>
      <w:proofErr w:type="spellStart"/>
      <w:r w:rsidRPr="00001930">
        <w:rPr>
          <w:rFonts w:ascii="Arial" w:eastAsiaTheme="minorHAnsi" w:hAnsi="Arial" w:cs="Arial"/>
          <w:lang w:eastAsia="en-US"/>
        </w:rPr>
        <w:t>México</w:t>
      </w:r>
      <w:proofErr w:type="spellEnd"/>
      <w:r w:rsidRPr="00001930">
        <w:rPr>
          <w:rFonts w:ascii="Arial" w:eastAsiaTheme="minorHAnsi" w:hAnsi="Arial" w:cs="Arial"/>
          <w:lang w:eastAsia="en-US"/>
        </w:rPr>
        <w:t xml:space="preserve">: </w:t>
      </w:r>
      <w:proofErr w:type="spellStart"/>
      <w:r w:rsidRPr="00001930">
        <w:rPr>
          <w:rFonts w:ascii="Arial" w:eastAsiaTheme="minorHAnsi" w:hAnsi="Arial" w:cs="Arial"/>
          <w:lang w:eastAsia="en-US"/>
        </w:rPr>
        <w:t>Mcgraw</w:t>
      </w:r>
      <w:proofErr w:type="spellEnd"/>
      <w:r w:rsidRPr="00001930">
        <w:rPr>
          <w:rFonts w:ascii="Arial" w:eastAsiaTheme="minorHAnsi" w:hAnsi="Arial" w:cs="Arial"/>
          <w:lang w:eastAsia="en-US"/>
        </w:rPr>
        <w:t xml:space="preserve"> Hill/Interamericana Editores.</w:t>
      </w:r>
    </w:p>
    <w:p w:rsidR="00001930" w:rsidRPr="00D12F9D" w:rsidRDefault="00001930" w:rsidP="00D12F9D">
      <w:pPr>
        <w:pStyle w:val="NormalWeb"/>
        <w:spacing w:before="0" w:beforeAutospacing="0" w:after="180" w:afterAutospacing="0"/>
        <w:ind w:left="450" w:hanging="450"/>
        <w:jc w:val="both"/>
        <w:rPr>
          <w:rFonts w:ascii="Arial" w:hAnsi="Arial" w:cs="Arial"/>
        </w:rPr>
      </w:pPr>
    </w:p>
    <w:p w:rsidR="00CC0612" w:rsidRPr="00D12F9D" w:rsidRDefault="00CC0612" w:rsidP="00D12F9D">
      <w:pPr>
        <w:jc w:val="both"/>
        <w:rPr>
          <w:rFonts w:ascii="Arial" w:hAnsi="Arial" w:cs="Arial"/>
          <w:sz w:val="24"/>
          <w:szCs w:val="24"/>
        </w:rPr>
      </w:pPr>
      <w:r w:rsidRPr="00D12F9D">
        <w:rPr>
          <w:rFonts w:ascii="Arial" w:hAnsi="Arial" w:cs="Arial"/>
          <w:sz w:val="24"/>
          <w:szCs w:val="24"/>
        </w:rPr>
        <w:t xml:space="preserve"> </w:t>
      </w:r>
    </w:p>
    <w:sectPr w:rsidR="00CC0612" w:rsidRPr="00D12F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00DB1"/>
    <w:multiLevelType w:val="hybridMultilevel"/>
    <w:tmpl w:val="C12C4B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BFA5DA1"/>
    <w:multiLevelType w:val="hybridMultilevel"/>
    <w:tmpl w:val="51FCB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83118C"/>
    <w:multiLevelType w:val="hybridMultilevel"/>
    <w:tmpl w:val="B7CC7FB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2F132528"/>
    <w:multiLevelType w:val="hybridMultilevel"/>
    <w:tmpl w:val="6DCA5F28"/>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4" w15:restartNumberingAfterBreak="0">
    <w:nsid w:val="4FA94241"/>
    <w:multiLevelType w:val="hybridMultilevel"/>
    <w:tmpl w:val="F72E49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8AF0D2A"/>
    <w:multiLevelType w:val="hybridMultilevel"/>
    <w:tmpl w:val="5172FF10"/>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6" w15:restartNumberingAfterBreak="0">
    <w:nsid w:val="58CD6E84"/>
    <w:multiLevelType w:val="hybridMultilevel"/>
    <w:tmpl w:val="32A2C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AA94406"/>
    <w:multiLevelType w:val="hybridMultilevel"/>
    <w:tmpl w:val="DE14202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7D0327B5"/>
    <w:multiLevelType w:val="hybridMultilevel"/>
    <w:tmpl w:val="8C504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6"/>
  </w:num>
  <w:num w:numId="4">
    <w:abstractNumId w:val="5"/>
  </w:num>
  <w:num w:numId="5">
    <w:abstractNumId w:val="3"/>
  </w:num>
  <w:num w:numId="6">
    <w:abstractNumId w:val="2"/>
  </w:num>
  <w:num w:numId="7">
    <w:abstractNumId w:val="7"/>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00"/>
    <w:rsid w:val="00001930"/>
    <w:rsid w:val="000A4136"/>
    <w:rsid w:val="000A44FC"/>
    <w:rsid w:val="000F760B"/>
    <w:rsid w:val="002B215B"/>
    <w:rsid w:val="002D2998"/>
    <w:rsid w:val="003913E7"/>
    <w:rsid w:val="00475C10"/>
    <w:rsid w:val="0047693F"/>
    <w:rsid w:val="004F481D"/>
    <w:rsid w:val="005F7AE0"/>
    <w:rsid w:val="00602800"/>
    <w:rsid w:val="006841DA"/>
    <w:rsid w:val="006A46D0"/>
    <w:rsid w:val="006D4DE5"/>
    <w:rsid w:val="00713856"/>
    <w:rsid w:val="00907460"/>
    <w:rsid w:val="0098799A"/>
    <w:rsid w:val="009E3393"/>
    <w:rsid w:val="00A15681"/>
    <w:rsid w:val="00A777BB"/>
    <w:rsid w:val="00AD2122"/>
    <w:rsid w:val="00B41934"/>
    <w:rsid w:val="00BA0065"/>
    <w:rsid w:val="00BC6AA4"/>
    <w:rsid w:val="00BD2C66"/>
    <w:rsid w:val="00CC0612"/>
    <w:rsid w:val="00D12F9D"/>
    <w:rsid w:val="00E603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45A0"/>
  <w15:chartTrackingRefBased/>
  <w15:docId w15:val="{1A527C7D-DD24-4BAB-8D22-7A7492E4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800"/>
    <w:pPr>
      <w:spacing w:line="256" w:lineRule="auto"/>
    </w:pPr>
  </w:style>
  <w:style w:type="paragraph" w:styleId="Ttulo1">
    <w:name w:val="heading 1"/>
    <w:basedOn w:val="Normal"/>
    <w:next w:val="Normal"/>
    <w:link w:val="Ttulo1Car"/>
    <w:uiPriority w:val="9"/>
    <w:qFormat/>
    <w:rsid w:val="00602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028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800"/>
    <w:pPr>
      <w:ind w:left="720"/>
      <w:contextualSpacing/>
    </w:pPr>
  </w:style>
  <w:style w:type="character" w:customStyle="1" w:styleId="Ttulo1Car">
    <w:name w:val="Título 1 Car"/>
    <w:basedOn w:val="Fuentedeprrafopredeter"/>
    <w:link w:val="Ttulo1"/>
    <w:uiPriority w:val="9"/>
    <w:rsid w:val="0060280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02800"/>
    <w:pPr>
      <w:spacing w:line="259" w:lineRule="auto"/>
      <w:outlineLvl w:val="9"/>
    </w:pPr>
    <w:rPr>
      <w:lang w:eastAsia="es-MX"/>
    </w:rPr>
  </w:style>
  <w:style w:type="character" w:customStyle="1" w:styleId="Ttulo2Car">
    <w:name w:val="Título 2 Car"/>
    <w:basedOn w:val="Fuentedeprrafopredeter"/>
    <w:link w:val="Ttulo2"/>
    <w:uiPriority w:val="9"/>
    <w:rsid w:val="0060280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02800"/>
    <w:pPr>
      <w:spacing w:after="100"/>
      <w:ind w:left="220"/>
    </w:pPr>
  </w:style>
  <w:style w:type="character" w:styleId="Hipervnculo">
    <w:name w:val="Hyperlink"/>
    <w:basedOn w:val="Fuentedeprrafopredeter"/>
    <w:uiPriority w:val="99"/>
    <w:unhideWhenUsed/>
    <w:rsid w:val="00602800"/>
    <w:rPr>
      <w:color w:val="0563C1" w:themeColor="hyperlink"/>
      <w:u w:val="single"/>
    </w:rPr>
  </w:style>
  <w:style w:type="character" w:styleId="nfasis">
    <w:name w:val="Emphasis"/>
    <w:basedOn w:val="Fuentedeprrafopredeter"/>
    <w:uiPriority w:val="20"/>
    <w:qFormat/>
    <w:rsid w:val="004F481D"/>
    <w:rPr>
      <w:i/>
      <w:iCs/>
    </w:rPr>
  </w:style>
  <w:style w:type="paragraph" w:styleId="NormalWeb">
    <w:name w:val="Normal (Web)"/>
    <w:basedOn w:val="Normal"/>
    <w:uiPriority w:val="99"/>
    <w:unhideWhenUsed/>
    <w:rsid w:val="00CC061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C0612"/>
    <w:rPr>
      <w:b/>
      <w:bCs/>
    </w:rPr>
  </w:style>
  <w:style w:type="character" w:styleId="Mencinsinresolver">
    <w:name w:val="Unresolved Mention"/>
    <w:basedOn w:val="Fuentedeprrafopredeter"/>
    <w:uiPriority w:val="99"/>
    <w:semiHidden/>
    <w:unhideWhenUsed/>
    <w:rsid w:val="00CC0612"/>
    <w:rPr>
      <w:color w:val="808080"/>
      <w:shd w:val="clear" w:color="auto" w:fill="E6E6E6"/>
    </w:rPr>
  </w:style>
  <w:style w:type="paragraph" w:styleId="TDC1">
    <w:name w:val="toc 1"/>
    <w:basedOn w:val="Normal"/>
    <w:next w:val="Normal"/>
    <w:autoRedefine/>
    <w:uiPriority w:val="39"/>
    <w:unhideWhenUsed/>
    <w:rsid w:val="0000193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8998">
      <w:bodyDiv w:val="1"/>
      <w:marLeft w:val="0"/>
      <w:marRight w:val="0"/>
      <w:marTop w:val="0"/>
      <w:marBottom w:val="0"/>
      <w:divBdr>
        <w:top w:val="none" w:sz="0" w:space="0" w:color="auto"/>
        <w:left w:val="none" w:sz="0" w:space="0" w:color="auto"/>
        <w:bottom w:val="none" w:sz="0" w:space="0" w:color="auto"/>
        <w:right w:val="none" w:sz="0" w:space="0" w:color="auto"/>
      </w:divBdr>
    </w:div>
    <w:div w:id="256257334">
      <w:bodyDiv w:val="1"/>
      <w:marLeft w:val="0"/>
      <w:marRight w:val="0"/>
      <w:marTop w:val="0"/>
      <w:marBottom w:val="0"/>
      <w:divBdr>
        <w:top w:val="none" w:sz="0" w:space="0" w:color="auto"/>
        <w:left w:val="none" w:sz="0" w:space="0" w:color="auto"/>
        <w:bottom w:val="none" w:sz="0" w:space="0" w:color="auto"/>
        <w:right w:val="none" w:sz="0" w:space="0" w:color="auto"/>
      </w:divBdr>
    </w:div>
    <w:div w:id="395444938">
      <w:bodyDiv w:val="1"/>
      <w:marLeft w:val="0"/>
      <w:marRight w:val="0"/>
      <w:marTop w:val="0"/>
      <w:marBottom w:val="0"/>
      <w:divBdr>
        <w:top w:val="none" w:sz="0" w:space="0" w:color="auto"/>
        <w:left w:val="none" w:sz="0" w:space="0" w:color="auto"/>
        <w:bottom w:val="none" w:sz="0" w:space="0" w:color="auto"/>
        <w:right w:val="none" w:sz="0" w:space="0" w:color="auto"/>
      </w:divBdr>
    </w:div>
    <w:div w:id="1267734237">
      <w:bodyDiv w:val="1"/>
      <w:marLeft w:val="0"/>
      <w:marRight w:val="0"/>
      <w:marTop w:val="0"/>
      <w:marBottom w:val="0"/>
      <w:divBdr>
        <w:top w:val="none" w:sz="0" w:space="0" w:color="auto"/>
        <w:left w:val="none" w:sz="0" w:space="0" w:color="auto"/>
        <w:bottom w:val="none" w:sz="0" w:space="0" w:color="auto"/>
        <w:right w:val="none" w:sz="0" w:space="0" w:color="auto"/>
      </w:divBdr>
    </w:div>
    <w:div w:id="20525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D7C5A-674B-46F7-ABBA-7A89DECB7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1459</Words>
  <Characters>8025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4</cp:revision>
  <cp:lastPrinted>2017-09-26T01:31:00Z</cp:lastPrinted>
  <dcterms:created xsi:type="dcterms:W3CDTF">2017-09-26T01:31:00Z</dcterms:created>
  <dcterms:modified xsi:type="dcterms:W3CDTF">2017-09-26T01:31:00Z</dcterms:modified>
</cp:coreProperties>
</file>