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5" name="image13.jpg"/>
            <a:graphic>
              <a:graphicData uri="http://schemas.openxmlformats.org/drawingml/2006/picture">
                <pic:pic>
                  <pic:nvPicPr>
                    <pic:cNvPr descr="http://estudiarmaestriasenlinea.com/wp-content/uploads/2014/06/maestrias-del-ipn-por-internet.jpg" id="0" name="image13.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8" name="image16.png"/>
            <a:graphic>
              <a:graphicData uri="http://schemas.openxmlformats.org/drawingml/2006/picture">
                <pic:pic>
                  <pic:nvPicPr>
                    <pic:cNvPr descr="https://pbs.twimg.com/profile_images/1423089146/escom_400x400.png" id="0" name="image16.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#2</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Arreglos de Objetos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Reservaciones de asientos en un camión</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-Tablero de botones de 4X11  (numerar ,de forma consecutiva los asientos, es decir que la etiqueta de cada botón sea un número )</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-Reservar el asiento cuando se hace click sobre el botón que lo representa y cambiar el color y etiqueta de dicho botón .</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pulsa un botón especial (el 45=44+1) para mostrar cuales asientos se han reservado.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números de los asientos reservados se pueden almacenar en una variable de tipo String la cual hará el papel de acumulador. Cada que se hace clic en un botón se puede agregar el número de asiento a la cadena.</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Aprender el uso de arreglos de objetos en Java.</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uso de un ciclo simple (for) para ir agregando cada uno de los objetos.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Mediante botones elegir la imagen que se quiere que aparezca en una etiqueta.</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Aprender cómo se extraen cosas de los objetos para ponerlos en otros mediante el uso de get y set.</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uso de una Applet para visualizar mejor el procedimiento de las acciones.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importamos las librerías de Java que nos permitirían posteriormente realizar eventos en nuestro programa y la de Applet para poder ver la función del mismo en una pequeña aplicación. </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652872" cy="981392"/>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652872" cy="981392"/>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establecimos nuestra clase Camion como una extensión de JApplet implementando la acción de escucha, posteriormente declaramos los objetos correspondientes, un arreglo de botones tipo JButton para simular los asientos, además de uno adicional que simulará el botón de reservador, para terminar, una etiqueta tipo JLabel, en la cual serán puestas los asientos que previamente fueron seleccionadas por los botones.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85423" cy="888382"/>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285423" cy="888382"/>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se declaró como pública a Camion, se creó un método de inicialización (init) que nos permitió darle los parámetros iniciales a los objetos, se creó una cuadrícula de 44 espacios donde los botones serían puestos en cada uno con un ciclo for que iría incrementando de 1 en 1 unidad y a su vez a cada botón se le agregaría la acción escucha y sería agregado. Al concluir se agregaría al final el botón de Reservado.</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52073" cy="1898132"/>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52073" cy="1898132"/>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se estableció la acción evento, que permitiría darle a cada botón una acción, la cual consistía en que al oprimir cualquier botón este cambiaría de color para simular la reservación y se añadiría su número a la cadena de reservaciones.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13973" cy="135446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13973" cy="135446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creamos el html para poder crear la simulación como un Applet.</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19575" cy="781698"/>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219575" cy="781698"/>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ejecutar el Applet, debemos de seguir las instrucciones mostradas a continuación:</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67125" cy="4511856"/>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67125" cy="4511856"/>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spacing w:line="259" w:lineRule="auto"/>
        <w:contextualSpacing w:val="0"/>
        <w:jc w:val="both"/>
        <w:rPr/>
      </w:pPr>
      <w:r w:rsidDel="00000000" w:rsidR="00000000" w:rsidRPr="00000000">
        <w:rPr>
          <w:rFonts w:ascii="Arial" w:cs="Arial" w:eastAsia="Arial" w:hAnsi="Arial"/>
          <w:sz w:val="24"/>
          <w:szCs w:val="24"/>
          <w:rtl w:val="0"/>
        </w:rPr>
        <w:t xml:space="preserve">Para agregar una serie de objetos del mismo tipo, de una forma más rápida, es mediante un ciclo, además es necesario establecer un nombre adecuado para cada objeto para que sean más rápido de reconocer. Es importante establecer las acciones escucha y evento para visualizar que los objetos cumplan sus actividades debidas. Si no se inicializa un programa, al igual que los objetos que serán "seteados" en el mismo, no podrán proceder las actividades de cada uno de ellos, además de que no aparecerá ningún objeto en la aplicación JApplet (nula visualización).</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1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