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5635"/>
      </w:tblGrid>
      <w:tr>
        <w:trPr>
          <w:trHeight w:val="950" w:hRule="atLeast"/>
        </w:trPr>
        <w:tc>
          <w:tcPr>
            <w:tcW w:w="11220" w:type="dxa"/>
            <w:gridSpan w:val="2"/>
            <w:shd w:val="clear" w:color="auto" w:fill="7FD836"/>
          </w:tcPr>
          <w:p>
            <w:pPr>
              <w:pStyle w:val="TableParagraph"/>
              <w:spacing w:before="284"/>
              <w:ind w:left="2686"/>
              <w:rPr>
                <w:sz w:val="42"/>
              </w:rPr>
            </w:pPr>
            <w:r>
              <w:rPr>
                <w:color w:val="FFFFFF"/>
                <w:sz w:val="42"/>
              </w:rPr>
              <w:t>EVIDENCIA DE APRENDIZAJE</w:t>
            </w:r>
            <w:r>
              <w:rPr>
                <w:color w:val="FFFFFF"/>
                <w:spacing w:val="-83"/>
                <w:sz w:val="42"/>
              </w:rPr>
              <w:t> </w:t>
            </w:r>
            <w:r>
              <w:rPr>
                <w:color w:val="FFFFFF"/>
                <w:sz w:val="42"/>
              </w:rPr>
              <w:t>III.6</w:t>
            </w:r>
          </w:p>
        </w:tc>
      </w:tr>
      <w:tr>
        <w:trPr>
          <w:trHeight w:val="108" w:hRule="atLeast"/>
        </w:trPr>
        <w:tc>
          <w:tcPr>
            <w:tcW w:w="5585" w:type="dxa"/>
            <w:shd w:val="clear" w:color="auto" w:fill="50B24E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35" w:type="dxa"/>
            <w:shd w:val="clear" w:color="auto" w:fill="43954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62" w:hRule="atLeast"/>
        </w:trPr>
        <w:tc>
          <w:tcPr>
            <w:tcW w:w="5585" w:type="dxa"/>
            <w:shd w:val="clear" w:color="auto" w:fill="50B24E"/>
          </w:tcPr>
          <w:p>
            <w:pPr>
              <w:pStyle w:val="TableParagraph"/>
              <w:spacing w:before="197"/>
              <w:ind w:left="626"/>
              <w:rPr>
                <w:sz w:val="28"/>
              </w:rPr>
            </w:pPr>
            <w:r>
              <w:rPr>
                <w:b/>
                <w:color w:val="FFFFFF"/>
                <w:sz w:val="28"/>
              </w:rPr>
              <w:t>Título</w:t>
            </w:r>
            <w:r>
              <w:rPr>
                <w:color w:val="FFFFFF"/>
                <w:sz w:val="28"/>
              </w:rPr>
              <w:t>: Localización de la empresa</w:t>
            </w:r>
          </w:p>
        </w:tc>
        <w:tc>
          <w:tcPr>
            <w:tcW w:w="5635" w:type="dxa"/>
            <w:tcBorders>
              <w:bottom w:val="single" w:sz="8" w:space="0" w:color="000000"/>
            </w:tcBorders>
            <w:shd w:val="clear" w:color="auto" w:fill="439540"/>
          </w:tcPr>
          <w:p>
            <w:pPr>
              <w:pStyle w:val="TableParagraph"/>
              <w:spacing w:line="266" w:lineRule="auto" w:before="94"/>
              <w:ind w:left="341" w:right="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Propósito:</w:t>
            </w:r>
            <w:r>
              <w:rPr>
                <w:b/>
                <w:color w:val="FFFFFF"/>
                <w:spacing w:val="-32"/>
                <w:w w:val="90"/>
                <w:sz w:val="24"/>
              </w:rPr>
              <w:t> </w:t>
            </w:r>
            <w:r>
              <w:rPr>
                <w:b/>
                <w:color w:val="FFFFFF"/>
                <w:spacing w:val="-3"/>
                <w:w w:val="90"/>
                <w:sz w:val="24"/>
              </w:rPr>
              <w:t>Evalúa</w:t>
            </w:r>
            <w:r>
              <w:rPr>
                <w:b/>
                <w:color w:val="FFFFFF"/>
                <w:spacing w:val="-32"/>
                <w:w w:val="90"/>
                <w:sz w:val="24"/>
              </w:rPr>
              <w:t> </w:t>
            </w:r>
            <w:r>
              <w:rPr>
                <w:b/>
                <w:color w:val="FFFFFF"/>
                <w:w w:val="90"/>
                <w:sz w:val="24"/>
              </w:rPr>
              <w:t>alternativas</w:t>
            </w:r>
            <w:r>
              <w:rPr>
                <w:b/>
                <w:color w:val="FFFFFF"/>
                <w:spacing w:val="-33"/>
                <w:w w:val="90"/>
                <w:sz w:val="24"/>
              </w:rPr>
              <w:t> </w:t>
            </w:r>
            <w:r>
              <w:rPr>
                <w:b/>
                <w:color w:val="FFFFFF"/>
                <w:w w:val="90"/>
                <w:sz w:val="24"/>
              </w:rPr>
              <w:t>de</w:t>
            </w:r>
            <w:r>
              <w:rPr>
                <w:b/>
                <w:color w:val="FFFFFF"/>
                <w:spacing w:val="-32"/>
                <w:w w:val="90"/>
                <w:sz w:val="24"/>
              </w:rPr>
              <w:t> </w:t>
            </w:r>
            <w:r>
              <w:rPr>
                <w:b/>
                <w:color w:val="FFFFFF"/>
                <w:w w:val="90"/>
                <w:sz w:val="24"/>
              </w:rPr>
              <w:t>localización </w:t>
            </w:r>
            <w:r>
              <w:rPr>
                <w:b/>
                <w:color w:val="FFFFFF"/>
                <w:w w:val="95"/>
                <w:sz w:val="24"/>
              </w:rPr>
              <w:t>basándose</w:t>
            </w:r>
            <w:r>
              <w:rPr>
                <w:b/>
                <w:color w:val="FFFFFF"/>
                <w:spacing w:val="-36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en</w:t>
            </w:r>
            <w:r>
              <w:rPr>
                <w:b/>
                <w:color w:val="FFFFFF"/>
                <w:spacing w:val="-36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el</w:t>
            </w:r>
            <w:r>
              <w:rPr>
                <w:b/>
                <w:color w:val="FFFFFF"/>
                <w:spacing w:val="-36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método</w:t>
            </w:r>
            <w:r>
              <w:rPr>
                <w:b/>
                <w:color w:val="FFFFFF"/>
                <w:spacing w:val="-36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cualitativo</w:t>
            </w:r>
            <w:r>
              <w:rPr>
                <w:b/>
                <w:color w:val="FFFFFF"/>
                <w:spacing w:val="-35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o</w:t>
            </w:r>
            <w:r>
              <w:rPr>
                <w:b/>
                <w:color w:val="FFFFFF"/>
                <w:spacing w:val="-36"/>
                <w:w w:val="95"/>
                <w:sz w:val="24"/>
              </w:rPr>
              <w:t> </w:t>
            </w:r>
            <w:r>
              <w:rPr>
                <w:b/>
                <w:color w:val="FFFFFF"/>
                <w:w w:val="95"/>
                <w:sz w:val="24"/>
              </w:rPr>
              <w:t>por </w:t>
            </w:r>
            <w:r>
              <w:rPr>
                <w:b/>
                <w:color w:val="FFFFFF"/>
                <w:sz w:val="24"/>
              </w:rPr>
              <w:t>puntos</w:t>
            </w:r>
          </w:p>
        </w:tc>
      </w:tr>
      <w:tr>
        <w:trPr>
          <w:trHeight w:val="697" w:hRule="atLeast"/>
        </w:trPr>
        <w:tc>
          <w:tcPr>
            <w:tcW w:w="5585" w:type="dxa"/>
            <w:tcBorders>
              <w:right w:val="single" w:sz="8" w:space="0" w:color="000000"/>
            </w:tcBorders>
            <w:shd w:val="clear" w:color="auto" w:fill="2D6C2F"/>
          </w:tcPr>
          <w:p>
            <w:pPr>
              <w:pStyle w:val="TableParagraph"/>
              <w:spacing w:before="185"/>
              <w:ind w:left="1466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</w:t>
            </w:r>
            <w:r>
              <w:rPr>
                <w:color w:val="FFFFFF"/>
                <w:spacing w:val="-54"/>
                <w:sz w:val="29"/>
              </w:rPr>
              <w:t> </w:t>
            </w:r>
            <w:r>
              <w:rPr>
                <w:color w:val="FFFFFF"/>
                <w:sz w:val="29"/>
              </w:rPr>
              <w:t>equipo</w:t>
            </w:r>
          </w:p>
        </w:tc>
        <w:tc>
          <w:tcPr>
            <w:tcW w:w="5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2"/>
              <w:ind w:left="171"/>
              <w:rPr>
                <w:sz w:val="24"/>
              </w:rPr>
            </w:pPr>
            <w:r>
              <w:rPr>
                <w:sz w:val="24"/>
              </w:rPr>
              <w:t>Equipo no.</w:t>
            </w:r>
          </w:p>
        </w:tc>
      </w:tr>
    </w:tbl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2"/>
        <w:ind w:left="0" w:firstLine="0"/>
        <w:rPr>
          <w:rFonts w:ascii="Times New Roman"/>
          <w:sz w:val="21"/>
        </w:rPr>
      </w:pPr>
    </w:p>
    <w:p>
      <w:pPr>
        <w:pStyle w:val="Heading1"/>
        <w:rPr>
          <w:b w:val="0"/>
        </w:rPr>
      </w:pPr>
      <w:r>
        <w:rPr/>
        <w:t>Instrucciones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64" w:lineRule="auto" w:before="184" w:after="0"/>
        <w:ind w:left="1760" w:right="1579" w:hanging="360"/>
        <w:jc w:val="left"/>
        <w:rPr>
          <w:sz w:val="22"/>
        </w:rPr>
      </w:pPr>
      <w:r>
        <w:rPr>
          <w:sz w:val="22"/>
        </w:rPr>
        <w:t>Accede al tópico 3.2.3 y a la lectura Métodos para la evaluación de opciones de localización</w:t>
      </w:r>
      <w:r>
        <w:rPr>
          <w:spacing w:val="-30"/>
          <w:sz w:val="22"/>
        </w:rPr>
        <w:t> </w:t>
      </w:r>
      <w:r>
        <w:rPr>
          <w:sz w:val="22"/>
        </w:rPr>
        <w:t>(Angulo,</w:t>
      </w:r>
      <w:r>
        <w:rPr>
          <w:spacing w:val="-29"/>
          <w:sz w:val="22"/>
        </w:rPr>
        <w:t> </w:t>
      </w:r>
      <w:r>
        <w:rPr>
          <w:sz w:val="22"/>
        </w:rPr>
        <w:t>2016)</w:t>
      </w:r>
      <w:r>
        <w:rPr>
          <w:spacing w:val="-29"/>
          <w:sz w:val="22"/>
        </w:rPr>
        <w:t> </w:t>
      </w:r>
      <w:r>
        <w:rPr>
          <w:sz w:val="22"/>
        </w:rPr>
        <w:t>del</w:t>
      </w:r>
      <w:r>
        <w:rPr>
          <w:spacing w:val="-29"/>
          <w:sz w:val="22"/>
        </w:rPr>
        <w:t> </w:t>
      </w:r>
      <w:r>
        <w:rPr>
          <w:sz w:val="22"/>
        </w:rPr>
        <w:t>polilibro</w:t>
      </w:r>
      <w:r>
        <w:rPr>
          <w:spacing w:val="-30"/>
          <w:sz w:val="22"/>
        </w:rPr>
        <w:t> </w:t>
      </w:r>
      <w:r>
        <w:rPr>
          <w:sz w:val="22"/>
        </w:rPr>
        <w:t>Administración</w:t>
      </w:r>
      <w:r>
        <w:rPr>
          <w:spacing w:val="-29"/>
          <w:sz w:val="22"/>
        </w:rPr>
        <w:t> </w:t>
      </w:r>
      <w:r>
        <w:rPr>
          <w:sz w:val="22"/>
        </w:rPr>
        <w:t>de</w:t>
      </w:r>
      <w:r>
        <w:rPr>
          <w:spacing w:val="-29"/>
          <w:sz w:val="22"/>
        </w:rPr>
        <w:t> </w:t>
      </w:r>
      <w:r>
        <w:rPr>
          <w:sz w:val="22"/>
        </w:rPr>
        <w:t>Proyectos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58" w:after="0"/>
        <w:ind w:left="1760" w:right="0" w:hanging="360"/>
        <w:jc w:val="left"/>
        <w:rPr>
          <w:sz w:val="22"/>
        </w:rPr>
      </w:pPr>
      <w:r>
        <w:rPr>
          <w:sz w:val="22"/>
        </w:rPr>
        <w:t>Lee</w:t>
      </w:r>
      <w:r>
        <w:rPr>
          <w:spacing w:val="-19"/>
          <w:sz w:val="22"/>
        </w:rPr>
        <w:t> </w:t>
      </w:r>
      <w:r>
        <w:rPr>
          <w:sz w:val="22"/>
        </w:rPr>
        <w:t>cuidadosamente</w:t>
      </w:r>
      <w:r>
        <w:rPr>
          <w:spacing w:val="-19"/>
          <w:sz w:val="22"/>
        </w:rPr>
        <w:t> </w:t>
      </w:r>
      <w:r>
        <w:rPr>
          <w:sz w:val="22"/>
        </w:rPr>
        <w:t>el</w:t>
      </w:r>
      <w:r>
        <w:rPr>
          <w:spacing w:val="-19"/>
          <w:sz w:val="22"/>
        </w:rPr>
        <w:t> </w:t>
      </w:r>
      <w:r>
        <w:rPr>
          <w:sz w:val="2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64" w:lineRule="auto" w:before="185" w:after="0"/>
        <w:ind w:left="1760" w:right="1579" w:hanging="360"/>
        <w:jc w:val="left"/>
        <w:rPr>
          <w:sz w:val="22"/>
        </w:rPr>
      </w:pPr>
      <w:r>
        <w:rPr>
          <w:w w:val="95"/>
          <w:sz w:val="22"/>
        </w:rPr>
        <w:t>Determina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menos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tres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lugares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ubicar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tu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proyecto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evalúalos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utilizando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método </w:t>
      </w:r>
      <w:r>
        <w:rPr>
          <w:sz w:val="22"/>
        </w:rPr>
        <w:t>cualitativo</w:t>
      </w:r>
      <w:r>
        <w:rPr>
          <w:spacing w:val="-19"/>
          <w:sz w:val="22"/>
        </w:rPr>
        <w:t> </w:t>
      </w:r>
      <w:r>
        <w:rPr>
          <w:sz w:val="22"/>
        </w:rPr>
        <w:t>o</w:t>
      </w:r>
      <w:r>
        <w:rPr>
          <w:spacing w:val="-19"/>
          <w:sz w:val="22"/>
        </w:rPr>
        <w:t> </w:t>
      </w:r>
      <w:r>
        <w:rPr>
          <w:sz w:val="22"/>
        </w:rPr>
        <w:t>por</w:t>
      </w:r>
      <w:r>
        <w:rPr>
          <w:spacing w:val="-18"/>
          <w:sz w:val="22"/>
        </w:rPr>
        <w:t> </w:t>
      </w:r>
      <w:r>
        <w:rPr>
          <w:sz w:val="22"/>
        </w:rPr>
        <w:t>puntos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58" w:after="0"/>
        <w:ind w:left="1760" w:right="0" w:hanging="360"/>
        <w:jc w:val="left"/>
        <w:rPr>
          <w:sz w:val="22"/>
        </w:rPr>
      </w:pPr>
      <w:r>
        <w:rPr>
          <w:sz w:val="22"/>
        </w:rPr>
        <w:t>Señala</w:t>
      </w:r>
      <w:r>
        <w:rPr>
          <w:spacing w:val="-22"/>
          <w:sz w:val="22"/>
        </w:rPr>
        <w:t> </w:t>
      </w:r>
      <w:r>
        <w:rPr>
          <w:sz w:val="22"/>
        </w:rPr>
        <w:t>y</w:t>
      </w:r>
      <w:r>
        <w:rPr>
          <w:spacing w:val="-22"/>
          <w:sz w:val="22"/>
        </w:rPr>
        <w:t> </w:t>
      </w:r>
      <w:r>
        <w:rPr>
          <w:sz w:val="22"/>
        </w:rPr>
        <w:t>explica</w:t>
      </w:r>
      <w:r>
        <w:rPr>
          <w:spacing w:val="-21"/>
          <w:sz w:val="22"/>
        </w:rPr>
        <w:t> </w:t>
      </w:r>
      <w:r>
        <w:rPr>
          <w:sz w:val="22"/>
        </w:rPr>
        <w:t>la</w:t>
      </w:r>
      <w:r>
        <w:rPr>
          <w:spacing w:val="-22"/>
          <w:sz w:val="22"/>
        </w:rPr>
        <w:t> </w:t>
      </w:r>
      <w:r>
        <w:rPr>
          <w:sz w:val="22"/>
        </w:rPr>
        <w:t>mejor</w:t>
      </w:r>
      <w:r>
        <w:rPr>
          <w:spacing w:val="-22"/>
          <w:sz w:val="22"/>
        </w:rPr>
        <w:t> </w:t>
      </w:r>
      <w:r>
        <w:rPr>
          <w:sz w:val="22"/>
        </w:rPr>
        <w:t>alternativa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2"/>
          <w:sz w:val="22"/>
        </w:rPr>
        <w:t> </w:t>
      </w:r>
      <w:r>
        <w:rPr>
          <w:sz w:val="22"/>
        </w:rPr>
        <w:t>localización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85" w:after="0"/>
        <w:ind w:left="1760" w:right="0" w:hanging="360"/>
        <w:jc w:val="left"/>
        <w:rPr>
          <w:sz w:val="22"/>
        </w:rPr>
      </w:pPr>
      <w:r>
        <w:rPr>
          <w:sz w:val="22"/>
        </w:rPr>
        <w:t>Guarda el</w:t>
      </w:r>
      <w:r>
        <w:rPr>
          <w:spacing w:val="-36"/>
          <w:sz w:val="22"/>
        </w:rPr>
        <w:t> </w:t>
      </w:r>
      <w:r>
        <w:rPr>
          <w:sz w:val="22"/>
        </w:rPr>
        <w:t>archivo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84" w:after="0"/>
        <w:ind w:left="1760" w:right="0" w:hanging="360"/>
        <w:jc w:val="left"/>
        <w:rPr>
          <w:sz w:val="22"/>
        </w:rPr>
      </w:pPr>
      <w:r>
        <w:rPr>
          <w:sz w:val="22"/>
        </w:rPr>
        <w:t>Envía</w:t>
      </w:r>
      <w:r>
        <w:rPr>
          <w:spacing w:val="-22"/>
          <w:sz w:val="22"/>
        </w:rPr>
        <w:t> </w:t>
      </w:r>
      <w:r>
        <w:rPr>
          <w:sz w:val="22"/>
        </w:rPr>
        <w:t>tu</w:t>
      </w:r>
      <w:r>
        <w:rPr>
          <w:spacing w:val="-21"/>
          <w:sz w:val="22"/>
        </w:rPr>
        <w:t> </w:t>
      </w:r>
      <w:r>
        <w:rPr>
          <w:sz w:val="22"/>
        </w:rPr>
        <w:t>archivo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color w:val="0079CD"/>
          <w:spacing w:val="-21"/>
          <w:sz w:val="22"/>
        </w:rPr>
        <w:t> </w:t>
      </w:r>
      <w:hyperlink r:id="rId5">
        <w:r>
          <w:rPr>
            <w:color w:val="0079CD"/>
            <w:sz w:val="22"/>
            <w:u w:val="single" w:color="0079CD"/>
          </w:rPr>
          <w:t>joseﬁna.hernandez1006@gmail.com</w:t>
        </w:r>
      </w:hyperlink>
    </w:p>
    <w:p>
      <w:pPr>
        <w:pStyle w:val="Heading1"/>
        <w:spacing w:before="185"/>
        <w:rPr>
          <w:b w:val="0"/>
        </w:rPr>
      </w:pPr>
      <w:r>
        <w:rPr/>
        <w:t>Criterio de evaluación</w:t>
      </w:r>
      <w:r>
        <w:rPr>
          <w:b w:val="0"/>
        </w:rPr>
        <w:t>: 5%</w:t>
      </w:r>
    </w:p>
    <w:sectPr>
      <w:type w:val="continuous"/>
      <w:pgSz w:w="12240" w:h="15840"/>
      <w:pgMar w:top="380" w:bottom="28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Trebuchet MS" w:hAnsi="Trebuchet MS" w:eastAsia="Trebuchet MS" w:cs="Trebuchet MS"/>
        <w:w w:val="68"/>
        <w:sz w:val="22"/>
        <w:szCs w:val="22"/>
      </w:rPr>
    </w:lvl>
    <w:lvl w:ilvl="1">
      <w:start w:val="0"/>
      <w:numFmt w:val="bullet"/>
      <w:lvlText w:val="•"/>
      <w:lvlJc w:val="left"/>
      <w:pPr>
        <w:ind w:left="27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158"/>
      <w:ind w:left="1760" w:hanging="360"/>
    </w:pPr>
    <w:rPr>
      <w:rFonts w:ascii="Trebuchet MS" w:hAnsi="Trebuchet MS" w:eastAsia="Trebuchet MS" w:cs="Trebuchet MS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40"/>
      <w:outlineLvl w:val="1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58"/>
      <w:ind w:left="1760" w:hanging="3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se&#64257;na.hernandez100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2018-04-18T14:15:53Z</dcterms:created>
  <dcterms:modified xsi:type="dcterms:W3CDTF">2018-04-18T14:15:53Z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2018-04-18T00:00:00Z</vt:filetime>
  </property>
</Properties>
</file>