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re1"/>
        <w:bidi w:val="0"/>
        <w:spacing w:before="240" w:after="120"/>
        <w:jc w:val="left"/>
        <w:rPr/>
      </w:pPr>
      <w:r>
        <w:rPr/>
        <w:t>Cahier des charges complet pour le développement d’une application mobile et web facilitant la recherche de médicaments et de pharmacies en Côte d’Ivoire</w:t>
      </w:r>
    </w:p>
    <w:p>
      <w:pPr>
        <w:pStyle w:val="Citations"/>
        <w:numPr>
          <w:ilvl w:val="0"/>
          <w:numId w:val="1"/>
        </w:numPr>
        <w:tabs>
          <w:tab w:val="clear" w:pos="709"/>
          <w:tab w:val="left" w:pos="1276" w:leader="none"/>
        </w:tabs>
        <w:bidi w:val="0"/>
        <w:spacing w:before="0" w:after="0"/>
        <w:ind w:left="1276" w:right="567" w:hanging="283"/>
        <w:jc w:val="left"/>
        <w:rPr/>
      </w:pPr>
      <w:r>
        <w:rPr/>
        <w:t xml:space="preserve">Environ 70 % de la population ivoirienne dépend du secteur informel pour se procurer des médicaments, exposant à des risques d’automédication et de contrefaçon. </w:t>
      </w:r>
    </w:p>
    <w:p>
      <w:pPr>
        <w:pStyle w:val="Citations"/>
        <w:numPr>
          <w:ilvl w:val="0"/>
          <w:numId w:val="1"/>
        </w:numPr>
        <w:tabs>
          <w:tab w:val="clear" w:pos="709"/>
          <w:tab w:val="left" w:pos="1276" w:leader="none"/>
        </w:tabs>
        <w:bidi w:val="0"/>
        <w:spacing w:before="0" w:after="0"/>
        <w:ind w:left="1276" w:right="567" w:hanging="283"/>
        <w:jc w:val="left"/>
        <w:rPr/>
      </w:pPr>
      <w:r>
        <w:rPr/>
        <w:t xml:space="preserve">Absence d’un système centralisé pour localiser les pharmacies et vérifier la disponibilité des médicaments, entraînant des déplacements inutiles et une perte de temps. </w:t>
      </w:r>
    </w:p>
    <w:p>
      <w:pPr>
        <w:pStyle w:val="Citations"/>
        <w:numPr>
          <w:ilvl w:val="0"/>
          <w:numId w:val="1"/>
        </w:numPr>
        <w:tabs>
          <w:tab w:val="clear" w:pos="709"/>
          <w:tab w:val="left" w:pos="1276" w:leader="none"/>
        </w:tabs>
        <w:bidi w:val="0"/>
        <w:spacing w:before="0" w:after="0"/>
        <w:ind w:left="1276" w:right="567" w:hanging="283"/>
        <w:jc w:val="left"/>
        <w:rPr/>
      </w:pPr>
      <w:r>
        <w:rPr/>
        <w:t xml:space="preserve">Les pharmacies de garde et les horaires d’ouverture sont difficiles à identifier, notamment en dehors des heures classiques. </w:t>
      </w:r>
    </w:p>
    <w:p>
      <w:pPr>
        <w:pStyle w:val="Citations"/>
        <w:numPr>
          <w:ilvl w:val="0"/>
          <w:numId w:val="1"/>
        </w:numPr>
        <w:tabs>
          <w:tab w:val="clear" w:pos="709"/>
          <w:tab w:val="left" w:pos="1276" w:leader="none"/>
        </w:tabs>
        <w:bidi w:val="0"/>
        <w:spacing w:before="0" w:after="0"/>
        <w:ind w:left="1276" w:right="567" w:hanging="283"/>
        <w:jc w:val="left"/>
        <w:rPr/>
      </w:pPr>
      <w:r>
        <w:rPr/>
        <w:t xml:space="preserve">Les coûts élevés des médicaments et la faible infrastructure sanitaire limitent l’accès aux soins, surtout en zones rurales. </w:t>
      </w:r>
    </w:p>
    <w:p>
      <w:pPr>
        <w:pStyle w:val="Citations"/>
        <w:numPr>
          <w:ilvl w:val="0"/>
          <w:numId w:val="1"/>
        </w:numPr>
        <w:tabs>
          <w:tab w:val="clear" w:pos="709"/>
          <w:tab w:val="left" w:pos="1276" w:leader="none"/>
        </w:tabs>
        <w:bidi w:val="0"/>
        <w:ind w:left="1276" w:right="567" w:hanging="283"/>
        <w:jc w:val="left"/>
        <w:rPr/>
      </w:pPr>
      <w:r>
        <w:rPr/>
        <w:t>Des applications locales existantes (</w:t>
      </w:r>
      <w:r>
        <w:rPr/>
        <w:t>PHARMA-CI</w:t>
      </w:r>
      <w:r>
        <w:rPr/>
        <w:t xml:space="preserve">, offrent des fonctionnalités partielles, mais aucune ne couvre l’ensemble des besoins identifiés. </w:t>
      </w:r>
    </w:p>
    <w:p>
      <w:pPr>
        <w:pStyle w:val="Lignehorizontale"/>
        <w:bidi w:val="0"/>
        <w:jc w:val="left"/>
        <w:rPr/>
      </w:pPr>
      <w:r>
        <w:rPr/>
      </w:r>
    </w:p>
    <w:p>
      <w:pPr>
        <w:pStyle w:val="Titre2"/>
        <w:bidi w:val="0"/>
        <w:jc w:val="left"/>
        <w:rPr/>
      </w:pPr>
      <w:r>
        <w:rPr/>
        <w:t>Introduction</w:t>
      </w:r>
    </w:p>
    <w:p>
      <w:pPr>
        <w:pStyle w:val="Corpsdetexte"/>
        <w:bidi w:val="0"/>
        <w:spacing w:lineRule="auto" w:line="276" w:before="0" w:after="140"/>
        <w:jc w:val="left"/>
        <w:rPr/>
      </w:pPr>
      <w:r>
        <w:rPr/>
        <w:t>En Côte d’Ivoire, l’accès aux médicaments et aux pharmacies reste un défi majeur, marqué par une forte dépendance au secteur informel, un manque d’informations fiables sur les stocks et les prix, et une difficulté à localiser les pharmacies ouvertes en dehors des horaires classiques. Ces problèmes engendrent une perte de temps considérable pour les patients, un risque accru d’automédication et d’utilisation de médicaments contrefaits, ainsi qu’une inefficacité dans la prise en charge des urgences médicales. Le développement d’une application mobile et web centralisée, intégrant la géolocalisation, la vérification des stocks en temps réel, et la mise à disposition d’informations fiables sur les pharmacies et les médicaments, apparaît comme une solution innovante et nécessaire pour améliorer l’accès aux soins en Côte d’Ivoire.</w:t>
      </w:r>
    </w:p>
    <w:p>
      <w:pPr>
        <w:pStyle w:val="Lignehorizontale"/>
        <w:suppressLineNumbers/>
        <w:pBdr>
          <w:bottom w:val="double" w:sz="2" w:space="0" w:color="808080"/>
        </w:pBdr>
        <w:bidi w:val="0"/>
        <w:spacing w:before="0" w:after="283"/>
        <w:jc w:val="left"/>
        <w:rPr/>
      </w:pPr>
      <w:r>
        <w:rPr/>
      </w:r>
    </w:p>
    <w:p>
      <w:pPr>
        <w:pStyle w:val="Titre2"/>
        <w:bidi w:val="0"/>
        <w:jc w:val="left"/>
        <w:rPr/>
      </w:pPr>
      <w:r>
        <w:rPr/>
        <w:t>Contexte et problématique</w:t>
      </w:r>
    </w:p>
    <w:p>
      <w:pPr>
        <w:pStyle w:val="Corpsdetexte"/>
        <w:bidi w:val="0"/>
        <w:spacing w:lineRule="auto" w:line="276" w:before="0" w:after="140"/>
        <w:jc w:val="left"/>
        <w:rPr/>
      </w:pPr>
      <w:r>
        <w:rPr/>
        <w:t>L’accès aux médicaments en Côte d’Ivoire est caractérisé par une forte dépendance au secteur informel, avec environ 70 % de la population se procurant des médicaments en dehors des circuits officiels, souvent via des vendeurs de rue ou des marchés parallèles. Cette situation expose les patients à des risques importants d’automédication, d’intoxications, et d’utilisation de médicaments contrefaits ou périmés. Par ailleurs, il n’existe pas de système centralisé permettant aux patients de localiser rapidement les pharmacies officielles, de vérifier la disponibilité des médicaments, ou de connaître les prix et les équivalents génériques. Cette absence d’information fiable oblige les patients à se déplacer physiquement d’une pharmacie à l’autre, ce qui représente une perte de temps et d’énergie, particulièrement problématique en cas d’urgence ou pour les personnes à mobilité réduite.</w:t>
      </w:r>
    </w:p>
    <w:p>
      <w:pPr>
        <w:pStyle w:val="Corpsdetexte"/>
        <w:bidi w:val="0"/>
        <w:spacing w:lineRule="auto" w:line="276" w:before="0" w:after="140"/>
        <w:jc w:val="left"/>
        <w:rPr/>
      </w:pPr>
      <w:r>
        <w:rPr/>
        <w:t>Les pharmacies de garde, ouvertes en dehors des horaires classiques, sont difficiles à identifier, ce qui complique la prise en charge des urgences médicales. De plus, les coûts élevés des médicaments et la faible infrastructure sanitaire, notamment en zones rurales, limitent encore davantage l’accès aux soins. Les données montrent que les ménages africains dépensent jusqu’à 40 % de leur budget santé pour des médicaments, ce qui est insoutenable pour une grande partie de la population.</w:t>
      </w:r>
    </w:p>
    <w:p>
      <w:pPr>
        <w:pStyle w:val="Corpsdetexte"/>
        <w:bidi w:val="0"/>
        <w:spacing w:lineRule="auto" w:line="276" w:before="0" w:after="140"/>
        <w:jc w:val="left"/>
        <w:rPr/>
      </w:pPr>
      <w:r>
        <w:rPr/>
        <w:t>Des applications mobiles locales existent déjà, telles que Pharmacy CI, PharmAppCI, Meditect et IvoireHealth, qui proposent des fonctionnalités partielles (localisation des pharmacies de garde, vérification des prix, gestion des stocks, carte d’épargne santé). Cependant, aucune ne couvre l’ensemble des besoins identifiés, notamment la mise à jour en temps réel des stocks, la gestion des urgences, la promotion des génériques, et l’intégration des paiements numériques.</w:t>
      </w:r>
    </w:p>
    <w:p>
      <w:pPr>
        <w:pStyle w:val="Lignehorizontale"/>
        <w:suppressLineNumbers/>
        <w:pBdr>
          <w:bottom w:val="double" w:sz="2" w:space="0" w:color="808080"/>
        </w:pBdr>
        <w:bidi w:val="0"/>
        <w:spacing w:before="0" w:after="283"/>
        <w:jc w:val="left"/>
        <w:rPr/>
      </w:pPr>
      <w:r>
        <w:rPr/>
      </w:r>
    </w:p>
    <w:p>
      <w:pPr>
        <w:pStyle w:val="Titre2"/>
        <w:bidi w:val="0"/>
        <w:jc w:val="left"/>
        <w:rPr/>
      </w:pPr>
      <w:r>
        <w:rPr/>
        <w:t>Objectifs de l’application</w:t>
      </w:r>
    </w:p>
    <w:p>
      <w:pPr>
        <w:pStyle w:val="Titre3"/>
        <w:bidi w:val="0"/>
        <w:jc w:val="left"/>
        <w:rPr/>
      </w:pPr>
      <w:r>
        <w:rPr/>
        <w:t>Objectifs principaux</w:t>
      </w:r>
    </w:p>
    <w:p>
      <w:pPr>
        <w:pStyle w:val="Corpsdetexte"/>
        <w:numPr>
          <w:ilvl w:val="0"/>
          <w:numId w:val="2"/>
        </w:numPr>
        <w:tabs>
          <w:tab w:val="left" w:pos="709" w:leader="none"/>
        </w:tabs>
        <w:bidi w:val="0"/>
        <w:spacing w:before="0" w:after="0"/>
        <w:ind w:left="709" w:hanging="283"/>
        <w:jc w:val="left"/>
        <w:rPr/>
      </w:pPr>
      <w:r>
        <w:rPr>
          <w:rStyle w:val="Accentuationforte"/>
        </w:rPr>
        <w:t>Permettre aux utilisateurs de trouver rapidement une pharmacie proche</w:t>
      </w:r>
      <w:r>
        <w:rPr/>
        <w:t xml:space="preserve"> grâce à la géolocalisation en temps réel, en distinguant les pharmacies de garde et les horaires d’ouverture. </w:t>
      </w:r>
    </w:p>
    <w:p>
      <w:pPr>
        <w:pStyle w:val="Corpsdetexte"/>
        <w:numPr>
          <w:ilvl w:val="0"/>
          <w:numId w:val="2"/>
        </w:numPr>
        <w:tabs>
          <w:tab w:val="left" w:pos="709" w:leader="none"/>
        </w:tabs>
        <w:bidi w:val="0"/>
        <w:spacing w:before="0" w:after="0"/>
        <w:ind w:left="709" w:hanging="283"/>
        <w:jc w:val="left"/>
        <w:rPr/>
      </w:pPr>
      <w:r>
        <w:rPr>
          <w:rStyle w:val="Accentuationforte"/>
        </w:rPr>
        <w:t>Vérifier la disponibilité d’un médicament</w:t>
      </w:r>
      <w:r>
        <w:rPr/>
        <w:t xml:space="preserve"> avant de se déplacer, avec mise à jour des stocks par les pharmacies partenaires en temps réel. </w:t>
      </w:r>
    </w:p>
    <w:p>
      <w:pPr>
        <w:pStyle w:val="Corpsdetexte"/>
        <w:numPr>
          <w:ilvl w:val="0"/>
          <w:numId w:val="2"/>
        </w:numPr>
        <w:tabs>
          <w:tab w:val="left" w:pos="709" w:leader="none"/>
        </w:tabs>
        <w:bidi w:val="0"/>
        <w:ind w:left="709" w:hanging="283"/>
        <w:jc w:val="left"/>
        <w:rPr/>
      </w:pPr>
      <w:r>
        <w:rPr>
          <w:rStyle w:val="Accentuationforte"/>
        </w:rPr>
        <w:t>Réduire les déplacements inutiles</w:t>
      </w:r>
      <w:r>
        <w:rPr/>
        <w:t xml:space="preserve"> et optimiser l’accès aux traitements, surtout pour les maladies chroniques ou urgentes. </w:t>
      </w:r>
    </w:p>
    <w:p>
      <w:pPr>
        <w:pStyle w:val="Titre3"/>
        <w:bidi w:val="0"/>
        <w:jc w:val="left"/>
        <w:rPr/>
      </w:pPr>
      <w:r>
        <w:rPr/>
        <w:t>Objectifs secondaires</w:t>
      </w:r>
    </w:p>
    <w:p>
      <w:pPr>
        <w:pStyle w:val="Corpsdetexte"/>
        <w:numPr>
          <w:ilvl w:val="0"/>
          <w:numId w:val="3"/>
        </w:numPr>
        <w:tabs>
          <w:tab w:val="left" w:pos="709" w:leader="none"/>
        </w:tabs>
        <w:bidi w:val="0"/>
        <w:spacing w:before="0" w:after="0"/>
        <w:ind w:left="709" w:hanging="283"/>
        <w:jc w:val="left"/>
        <w:rPr/>
      </w:pPr>
      <w:r>
        <w:rPr/>
        <w:t xml:space="preserve">Proposer des </w:t>
      </w:r>
      <w:r>
        <w:rPr>
          <w:rStyle w:val="Accentuationforte"/>
        </w:rPr>
        <w:t>alternatives (génériques ou équivalents thérapeutiques)</w:t>
      </w:r>
      <w:r>
        <w:rPr/>
        <w:t xml:space="preserve"> en cas de rupture de stock. </w:t>
      </w:r>
    </w:p>
    <w:p>
      <w:pPr>
        <w:pStyle w:val="Corpsdetexte"/>
        <w:numPr>
          <w:ilvl w:val="0"/>
          <w:numId w:val="3"/>
        </w:numPr>
        <w:tabs>
          <w:tab w:val="left" w:pos="709" w:leader="none"/>
        </w:tabs>
        <w:bidi w:val="0"/>
        <w:spacing w:before="0" w:after="0"/>
        <w:ind w:left="709" w:hanging="283"/>
        <w:jc w:val="left"/>
        <w:rPr/>
      </w:pPr>
      <w:r>
        <w:rPr/>
        <w:t xml:space="preserve">Intégrer un système de </w:t>
      </w:r>
      <w:r>
        <w:rPr>
          <w:rStyle w:val="Accentuationforte"/>
        </w:rPr>
        <w:t>réservation ou pré-commande</w:t>
      </w:r>
      <w:r>
        <w:rPr/>
        <w:t xml:space="preserve"> pour éviter les files d’attente. </w:t>
      </w:r>
    </w:p>
    <w:p>
      <w:pPr>
        <w:pStyle w:val="Corpsdetexte"/>
        <w:numPr>
          <w:ilvl w:val="0"/>
          <w:numId w:val="3"/>
        </w:numPr>
        <w:tabs>
          <w:tab w:val="left" w:pos="709" w:leader="none"/>
        </w:tabs>
        <w:bidi w:val="0"/>
        <w:spacing w:before="0" w:after="0"/>
        <w:ind w:left="709" w:hanging="283"/>
        <w:jc w:val="left"/>
        <w:rPr/>
      </w:pPr>
      <w:r>
        <w:rPr/>
        <w:t xml:space="preserve">Fournir des </w:t>
      </w:r>
      <w:r>
        <w:rPr>
          <w:rStyle w:val="Accentuationforte"/>
        </w:rPr>
        <w:t>informations sur les pharmacies de garde</w:t>
      </w:r>
      <w:r>
        <w:rPr/>
        <w:t xml:space="preserve"> 24/7 et leurs itinéraires. </w:t>
      </w:r>
    </w:p>
    <w:p>
      <w:pPr>
        <w:pStyle w:val="Corpsdetexte"/>
        <w:numPr>
          <w:ilvl w:val="0"/>
          <w:numId w:val="3"/>
        </w:numPr>
        <w:tabs>
          <w:tab w:val="left" w:pos="709" w:leader="none"/>
        </w:tabs>
        <w:bidi w:val="0"/>
        <w:spacing w:before="0" w:after="0"/>
        <w:ind w:left="709" w:hanging="283"/>
        <w:jc w:val="left"/>
        <w:rPr/>
      </w:pPr>
      <w:r>
        <w:rPr/>
        <w:t xml:space="preserve">Permettre aux pharmacies de </w:t>
      </w:r>
      <w:r>
        <w:rPr>
          <w:rStyle w:val="Accentuationforte"/>
        </w:rPr>
        <w:t>mettre à jour leurs stocks en temps réel</w:t>
      </w:r>
      <w:r>
        <w:rPr/>
        <w:t xml:space="preserve"> via un tableau de bord dédié. </w:t>
      </w:r>
    </w:p>
    <w:p>
      <w:pPr>
        <w:pStyle w:val="Corpsdetexte"/>
        <w:numPr>
          <w:ilvl w:val="0"/>
          <w:numId w:val="3"/>
        </w:numPr>
        <w:tabs>
          <w:tab w:val="left" w:pos="709" w:leader="none"/>
        </w:tabs>
        <w:bidi w:val="0"/>
        <w:spacing w:before="0" w:after="0"/>
        <w:ind w:left="709" w:hanging="283"/>
        <w:jc w:val="left"/>
        <w:rPr/>
      </w:pPr>
      <w:r>
        <w:rPr/>
        <w:t xml:space="preserve">Offrir une </w:t>
      </w:r>
      <w:r>
        <w:rPr>
          <w:rStyle w:val="Accentuationforte"/>
        </w:rPr>
        <w:t>plateforme sécurisée</w:t>
      </w:r>
      <w:r>
        <w:rPr/>
        <w:t xml:space="preserve"> pour les paiements en ligne (Mobile Money, cartes bancaires) et les services de livraison (partenariats avec des coursiers locaux). </w:t>
      </w:r>
    </w:p>
    <w:p>
      <w:pPr>
        <w:pStyle w:val="Corpsdetexte"/>
        <w:numPr>
          <w:ilvl w:val="0"/>
          <w:numId w:val="3"/>
        </w:numPr>
        <w:tabs>
          <w:tab w:val="left" w:pos="709" w:leader="none"/>
        </w:tabs>
        <w:bidi w:val="0"/>
        <w:spacing w:before="0" w:after="0"/>
        <w:ind w:left="709" w:hanging="283"/>
        <w:jc w:val="left"/>
        <w:rPr/>
      </w:pPr>
      <w:r>
        <w:rPr/>
        <w:t xml:space="preserve">Inclure un </w:t>
      </w:r>
      <w:r>
        <w:rPr>
          <w:rStyle w:val="Accentuationforte"/>
        </w:rPr>
        <w:t>système de notation et d’avis</w:t>
      </w:r>
      <w:r>
        <w:rPr/>
        <w:t xml:space="preserve"> pour évaluer la qualité des services des pharmacies. </w:t>
      </w:r>
    </w:p>
    <w:p>
      <w:pPr>
        <w:pStyle w:val="Corpsdetexte"/>
        <w:numPr>
          <w:ilvl w:val="0"/>
          <w:numId w:val="3"/>
        </w:numPr>
        <w:tabs>
          <w:tab w:val="left" w:pos="709" w:leader="none"/>
        </w:tabs>
        <w:bidi w:val="0"/>
        <w:ind w:left="709" w:hanging="283"/>
        <w:jc w:val="left"/>
        <w:rPr/>
      </w:pPr>
      <w:r>
        <w:rPr/>
        <w:t xml:space="preserve">Favoriser la </w:t>
      </w:r>
      <w:r>
        <w:rPr>
          <w:rStyle w:val="Accentuationforte"/>
        </w:rPr>
        <w:t>sensibilisation</w:t>
      </w:r>
      <w:r>
        <w:rPr/>
        <w:t xml:space="preserve"> à l’usage responsable des médicaments et la lutte contre la contrefaçon. </w:t>
      </w:r>
    </w:p>
    <w:p>
      <w:pPr>
        <w:pStyle w:val="Lignehorizontale"/>
        <w:bidi w:val="0"/>
        <w:jc w:val="left"/>
        <w:rPr/>
      </w:pPr>
      <w:r>
        <w:rPr/>
      </w:r>
    </w:p>
    <w:p>
      <w:pPr>
        <w:pStyle w:val="Titre2"/>
        <w:bidi w:val="0"/>
        <w:jc w:val="left"/>
        <w:rPr/>
      </w:pPr>
      <w:r>
        <w:rPr/>
        <w:t>Public cible</w:t>
      </w:r>
    </w:p>
    <w:p>
      <w:pPr>
        <w:pStyle w:val="Titre3"/>
        <w:bidi w:val="0"/>
        <w:jc w:val="left"/>
        <w:rPr/>
      </w:pPr>
      <w:r>
        <w:rPr/>
        <w:t>Patients</w:t>
      </w:r>
    </w:p>
    <w:p>
      <w:pPr>
        <w:pStyle w:val="Corpsdetexte"/>
        <w:numPr>
          <w:ilvl w:val="0"/>
          <w:numId w:val="4"/>
        </w:numPr>
        <w:tabs>
          <w:tab w:val="left" w:pos="709" w:leader="none"/>
        </w:tabs>
        <w:bidi w:val="0"/>
        <w:spacing w:before="0" w:after="0"/>
        <w:ind w:left="709" w:hanging="283"/>
        <w:jc w:val="left"/>
        <w:rPr/>
      </w:pPr>
      <w:r>
        <w:rPr/>
        <w:t xml:space="preserve">Personnes souffrant de maladies chroniques (diabète, hypertension, etc.) nécessitant un accès régulier à des médicaments. </w:t>
      </w:r>
    </w:p>
    <w:p>
      <w:pPr>
        <w:pStyle w:val="Corpsdetexte"/>
        <w:numPr>
          <w:ilvl w:val="0"/>
          <w:numId w:val="4"/>
        </w:numPr>
        <w:tabs>
          <w:tab w:val="left" w:pos="709" w:leader="none"/>
        </w:tabs>
        <w:bidi w:val="0"/>
        <w:spacing w:before="0" w:after="0"/>
        <w:ind w:left="709" w:hanging="283"/>
        <w:jc w:val="left"/>
        <w:rPr/>
      </w:pPr>
      <w:r>
        <w:rPr/>
        <w:t xml:space="preserve">Parents avec jeunes enfants ou personnes âgées dépendantes. </w:t>
      </w:r>
    </w:p>
    <w:p>
      <w:pPr>
        <w:pStyle w:val="Corpsdetexte"/>
        <w:numPr>
          <w:ilvl w:val="0"/>
          <w:numId w:val="4"/>
        </w:numPr>
        <w:tabs>
          <w:tab w:val="left" w:pos="709" w:leader="none"/>
        </w:tabs>
        <w:bidi w:val="0"/>
        <w:spacing w:before="0" w:after="0"/>
        <w:ind w:left="709" w:hanging="283"/>
        <w:jc w:val="left"/>
        <w:rPr/>
      </w:pPr>
      <w:r>
        <w:rPr/>
        <w:t xml:space="preserve">Urgences médicales nécessitant une localisation rapide des pharmacies de garde et des médicaments vitaux. </w:t>
      </w:r>
    </w:p>
    <w:p>
      <w:pPr>
        <w:pStyle w:val="Corpsdetexte"/>
        <w:numPr>
          <w:ilvl w:val="0"/>
          <w:numId w:val="4"/>
        </w:numPr>
        <w:tabs>
          <w:tab w:val="left" w:pos="709" w:leader="none"/>
        </w:tabs>
        <w:bidi w:val="0"/>
        <w:ind w:left="709" w:hanging="283"/>
        <w:jc w:val="left"/>
        <w:rPr/>
      </w:pPr>
      <w:r>
        <w:rPr/>
        <w:t xml:space="preserve">Population rurale ou urbaine avec un accès limité aux pharmacies officielles. </w:t>
      </w:r>
    </w:p>
    <w:p>
      <w:pPr>
        <w:pStyle w:val="Titre3"/>
        <w:bidi w:val="0"/>
        <w:jc w:val="left"/>
        <w:rPr/>
      </w:pPr>
      <w:r>
        <w:rPr/>
        <w:t>Pharmaciens et pharmacies</w:t>
      </w:r>
    </w:p>
    <w:p>
      <w:pPr>
        <w:pStyle w:val="Corpsdetexte"/>
        <w:numPr>
          <w:ilvl w:val="0"/>
          <w:numId w:val="5"/>
        </w:numPr>
        <w:tabs>
          <w:tab w:val="left" w:pos="709" w:leader="none"/>
        </w:tabs>
        <w:bidi w:val="0"/>
        <w:spacing w:before="0" w:after="0"/>
        <w:ind w:left="709" w:hanging="283"/>
        <w:jc w:val="left"/>
        <w:rPr/>
      </w:pPr>
      <w:r>
        <w:rPr/>
        <w:t xml:space="preserve">Besoin d’un outil pour gérer leurs stocks et attirer plus de clients. </w:t>
      </w:r>
    </w:p>
    <w:p>
      <w:pPr>
        <w:pStyle w:val="Corpsdetexte"/>
        <w:numPr>
          <w:ilvl w:val="0"/>
          <w:numId w:val="5"/>
        </w:numPr>
        <w:tabs>
          <w:tab w:val="left" w:pos="709" w:leader="none"/>
        </w:tabs>
        <w:bidi w:val="0"/>
        <w:ind w:left="709" w:hanging="283"/>
        <w:jc w:val="left"/>
        <w:rPr/>
      </w:pPr>
      <w:r>
        <w:rPr/>
        <w:t xml:space="preserve">Possibilité de promouvoir des offres ou fidéliser leur clientèle via des programmes de fidélité. </w:t>
      </w:r>
    </w:p>
    <w:p>
      <w:pPr>
        <w:pStyle w:val="Titre3"/>
        <w:bidi w:val="0"/>
        <w:jc w:val="left"/>
        <w:rPr/>
      </w:pPr>
      <w:r>
        <w:rPr/>
        <w:t>Autres acteurs</w:t>
      </w:r>
    </w:p>
    <w:p>
      <w:pPr>
        <w:pStyle w:val="Corpsdetexte"/>
        <w:numPr>
          <w:ilvl w:val="0"/>
          <w:numId w:val="6"/>
        </w:numPr>
        <w:tabs>
          <w:tab w:val="left" w:pos="709" w:leader="none"/>
        </w:tabs>
        <w:bidi w:val="0"/>
        <w:spacing w:before="0" w:after="0"/>
        <w:ind w:left="709" w:hanging="283"/>
        <w:jc w:val="left"/>
        <w:rPr/>
      </w:pPr>
      <w:r>
        <w:rPr/>
        <w:t xml:space="preserve">Médecins ou cliniques pouvant recommander l’application à leurs patients. </w:t>
      </w:r>
    </w:p>
    <w:p>
      <w:pPr>
        <w:pStyle w:val="Corpsdetexte"/>
        <w:numPr>
          <w:ilvl w:val="0"/>
          <w:numId w:val="6"/>
        </w:numPr>
        <w:tabs>
          <w:tab w:val="left" w:pos="709" w:leader="none"/>
        </w:tabs>
        <w:bidi w:val="0"/>
        <w:ind w:left="709" w:hanging="283"/>
        <w:jc w:val="left"/>
        <w:rPr/>
      </w:pPr>
      <w:r>
        <w:rPr/>
        <w:t xml:space="preserve">Autorités sanitaires pour un éventuel partenariat ou intégration avec le système de santé national. </w:t>
      </w:r>
    </w:p>
    <w:p>
      <w:pPr>
        <w:pStyle w:val="Lignehorizontale"/>
        <w:bidi w:val="0"/>
        <w:jc w:val="left"/>
        <w:rPr/>
      </w:pPr>
      <w:r>
        <w:rPr/>
      </w:r>
    </w:p>
    <w:p>
      <w:pPr>
        <w:pStyle w:val="Titre2"/>
        <w:bidi w:val="0"/>
        <w:jc w:val="left"/>
        <w:rPr/>
      </w:pPr>
      <w:r>
        <w:rPr/>
        <w:t>Fonctionnalités détaillées</w:t>
      </w:r>
    </w:p>
    <w:tbl>
      <w:tblPr>
        <w:tblW w:w="9638" w:type="dxa"/>
        <w:jc w:val="left"/>
        <w:tblInd w:w="0" w:type="dxa"/>
        <w:tblLayout w:type="fixed"/>
        <w:tblCellMar>
          <w:top w:w="28" w:type="dxa"/>
          <w:left w:w="28" w:type="dxa"/>
          <w:bottom w:w="28" w:type="dxa"/>
          <w:right w:w="28" w:type="dxa"/>
        </w:tblCellMar>
      </w:tblPr>
      <w:tblGrid>
        <w:gridCol w:w="2309"/>
        <w:gridCol w:w="5841"/>
        <w:gridCol w:w="1488"/>
      </w:tblGrid>
      <w:tr>
        <w:trPr>
          <w:tblHeader w:val="true"/>
        </w:trPr>
        <w:tc>
          <w:tcPr>
            <w:tcW w:w="2309" w:type="dxa"/>
            <w:tcBorders/>
            <w:vAlign w:val="center"/>
          </w:tcPr>
          <w:p>
            <w:pPr>
              <w:pStyle w:val="Titredetableau"/>
              <w:widowControl w:val="false"/>
              <w:suppressLineNumbers/>
              <w:bidi w:val="0"/>
              <w:jc w:val="center"/>
              <w:rPr/>
            </w:pPr>
            <w:r>
              <w:rPr/>
              <w:t>Fonctionnalité</w:t>
            </w:r>
          </w:p>
        </w:tc>
        <w:tc>
          <w:tcPr>
            <w:tcW w:w="5841" w:type="dxa"/>
            <w:tcBorders/>
            <w:vAlign w:val="center"/>
          </w:tcPr>
          <w:p>
            <w:pPr>
              <w:pStyle w:val="Titredetableau"/>
              <w:widowControl w:val="false"/>
              <w:suppressLineNumbers/>
              <w:bidi w:val="0"/>
              <w:jc w:val="center"/>
              <w:rPr/>
            </w:pPr>
            <w:r>
              <w:rPr/>
              <w:t>Description</w:t>
            </w:r>
          </w:p>
        </w:tc>
        <w:tc>
          <w:tcPr>
            <w:tcW w:w="1488" w:type="dxa"/>
            <w:tcBorders/>
            <w:vAlign w:val="center"/>
          </w:tcPr>
          <w:p>
            <w:pPr>
              <w:pStyle w:val="Titredetableau"/>
              <w:widowControl w:val="false"/>
              <w:suppressLineNumbers/>
              <w:bidi w:val="0"/>
              <w:jc w:val="center"/>
              <w:rPr/>
            </w:pPr>
            <w:r>
              <w:rPr/>
              <w:t>Priorité (MVP / Future)</w:t>
            </w:r>
          </w:p>
        </w:tc>
      </w:tr>
      <w:tr>
        <w:trPr/>
        <w:tc>
          <w:tcPr>
            <w:tcW w:w="2309" w:type="dxa"/>
            <w:tcBorders/>
            <w:vAlign w:val="center"/>
          </w:tcPr>
          <w:p>
            <w:pPr>
              <w:pStyle w:val="Contenudetableau"/>
              <w:widowControl w:val="false"/>
              <w:suppressLineNumbers/>
              <w:bidi w:val="0"/>
              <w:jc w:val="left"/>
              <w:rPr/>
            </w:pPr>
            <w:r>
              <w:rPr>
                <w:rStyle w:val="Accentuationforte"/>
              </w:rPr>
              <w:t>Recherche de médicaments</w:t>
            </w:r>
          </w:p>
        </w:tc>
        <w:tc>
          <w:tcPr>
            <w:tcW w:w="5841" w:type="dxa"/>
            <w:tcBorders/>
            <w:vAlign w:val="center"/>
          </w:tcPr>
          <w:p>
            <w:pPr>
              <w:pStyle w:val="Contenudetableau"/>
              <w:widowControl w:val="false"/>
              <w:suppressLineNumbers/>
              <w:bidi w:val="0"/>
              <w:jc w:val="left"/>
              <w:rPr/>
            </w:pPr>
            <w:r>
              <w:rPr/>
              <w:t>Recherche par nom commercial, principe actif, pathologie. Filtres : prix, disponibilité, distance, pharmacies de garde. Suggestion d’équivalents génériques.</w:t>
            </w:r>
          </w:p>
        </w:tc>
        <w:tc>
          <w:tcPr>
            <w:tcW w:w="1488" w:type="dxa"/>
            <w:tcBorders/>
            <w:vAlign w:val="center"/>
          </w:tcPr>
          <w:p>
            <w:pPr>
              <w:pStyle w:val="Contenudetableau"/>
              <w:widowControl w:val="false"/>
              <w:suppressLineNumbers/>
              <w:bidi w:val="0"/>
              <w:jc w:val="left"/>
              <w:rPr/>
            </w:pPr>
            <w:r>
              <w:rPr/>
              <w:t>MVP</w:t>
            </w:r>
          </w:p>
        </w:tc>
      </w:tr>
      <w:tr>
        <w:trPr/>
        <w:tc>
          <w:tcPr>
            <w:tcW w:w="2309" w:type="dxa"/>
            <w:tcBorders/>
            <w:vAlign w:val="center"/>
          </w:tcPr>
          <w:p>
            <w:pPr>
              <w:pStyle w:val="Contenudetableau"/>
              <w:widowControl w:val="false"/>
              <w:suppressLineNumbers/>
              <w:bidi w:val="0"/>
              <w:jc w:val="left"/>
              <w:rPr/>
            </w:pPr>
            <w:r>
              <w:rPr>
                <w:rStyle w:val="Accentuationforte"/>
              </w:rPr>
              <w:t>Géolocalisation</w:t>
            </w:r>
          </w:p>
        </w:tc>
        <w:tc>
          <w:tcPr>
            <w:tcW w:w="5841" w:type="dxa"/>
            <w:tcBorders/>
            <w:vAlign w:val="center"/>
          </w:tcPr>
          <w:p>
            <w:pPr>
              <w:pStyle w:val="Contenudetableau"/>
              <w:widowControl w:val="false"/>
              <w:suppressLineNumbers/>
              <w:bidi w:val="0"/>
              <w:jc w:val="left"/>
              <w:rPr/>
            </w:pPr>
            <w:r>
              <w:rPr/>
              <w:t>Carte interactive (Google Maps ou OpenStreetMap) avec affichage des pharmacies proches. Itinéraire optimisé.</w:t>
            </w:r>
          </w:p>
        </w:tc>
        <w:tc>
          <w:tcPr>
            <w:tcW w:w="1488" w:type="dxa"/>
            <w:tcBorders/>
            <w:vAlign w:val="center"/>
          </w:tcPr>
          <w:p>
            <w:pPr>
              <w:pStyle w:val="Contenudetableau"/>
              <w:widowControl w:val="false"/>
              <w:suppressLineNumbers/>
              <w:bidi w:val="0"/>
              <w:jc w:val="left"/>
              <w:rPr/>
            </w:pPr>
            <w:r>
              <w:rPr/>
              <w:t>MVP</w:t>
            </w:r>
          </w:p>
        </w:tc>
      </w:tr>
      <w:tr>
        <w:trPr/>
        <w:tc>
          <w:tcPr>
            <w:tcW w:w="2309" w:type="dxa"/>
            <w:tcBorders/>
            <w:vAlign w:val="center"/>
          </w:tcPr>
          <w:p>
            <w:pPr>
              <w:pStyle w:val="Contenudetableau"/>
              <w:widowControl w:val="false"/>
              <w:suppressLineNumbers/>
              <w:bidi w:val="0"/>
              <w:jc w:val="left"/>
              <w:rPr/>
            </w:pPr>
            <w:r>
              <w:rPr>
                <w:rStyle w:val="Accentuationforte"/>
              </w:rPr>
              <w:t>Fiche pharmacie</w:t>
            </w:r>
          </w:p>
        </w:tc>
        <w:tc>
          <w:tcPr>
            <w:tcW w:w="5841" w:type="dxa"/>
            <w:tcBorders/>
            <w:vAlign w:val="center"/>
          </w:tcPr>
          <w:p>
            <w:pPr>
              <w:pStyle w:val="Contenudetableau"/>
              <w:widowControl w:val="false"/>
              <w:suppressLineNumbers/>
              <w:bidi w:val="0"/>
              <w:jc w:val="left"/>
              <w:rPr/>
            </w:pPr>
            <w:r>
              <w:rPr/>
              <w:t>Horaires d’ouverture, coordonnées, services proposés (livraison, drive, conseil en ligne), notes et avis des utilisateurs.</w:t>
            </w:r>
          </w:p>
        </w:tc>
        <w:tc>
          <w:tcPr>
            <w:tcW w:w="1488" w:type="dxa"/>
            <w:tcBorders/>
            <w:vAlign w:val="center"/>
          </w:tcPr>
          <w:p>
            <w:pPr>
              <w:pStyle w:val="Contenudetableau"/>
              <w:widowControl w:val="false"/>
              <w:suppressLineNumbers/>
              <w:bidi w:val="0"/>
              <w:jc w:val="left"/>
              <w:rPr/>
            </w:pPr>
            <w:r>
              <w:rPr/>
              <w:t>MVP</w:t>
            </w:r>
          </w:p>
        </w:tc>
      </w:tr>
      <w:tr>
        <w:trPr/>
        <w:tc>
          <w:tcPr>
            <w:tcW w:w="2309" w:type="dxa"/>
            <w:tcBorders/>
            <w:vAlign w:val="center"/>
          </w:tcPr>
          <w:p>
            <w:pPr>
              <w:pStyle w:val="Contenudetableau"/>
              <w:widowControl w:val="false"/>
              <w:suppressLineNumbers/>
              <w:bidi w:val="0"/>
              <w:jc w:val="left"/>
              <w:rPr/>
            </w:pPr>
            <w:r>
              <w:rPr>
                <w:rStyle w:val="Accentuationforte"/>
              </w:rPr>
              <w:t>Alertes et notifications</w:t>
            </w:r>
          </w:p>
        </w:tc>
        <w:tc>
          <w:tcPr>
            <w:tcW w:w="5841" w:type="dxa"/>
            <w:tcBorders/>
            <w:vAlign w:val="center"/>
          </w:tcPr>
          <w:p>
            <w:pPr>
              <w:pStyle w:val="Contenudetableau"/>
              <w:widowControl w:val="false"/>
              <w:suppressLineNumbers/>
              <w:bidi w:val="0"/>
              <w:jc w:val="left"/>
              <w:rPr/>
            </w:pPr>
            <w:r>
              <w:rPr/>
              <w:t>Rappels pour les traitements chroniques, alertes en cas de rupture de stock d’un médicament suivi.</w:t>
            </w:r>
          </w:p>
        </w:tc>
        <w:tc>
          <w:tcPr>
            <w:tcW w:w="1488" w:type="dxa"/>
            <w:tcBorders/>
            <w:vAlign w:val="center"/>
          </w:tcPr>
          <w:p>
            <w:pPr>
              <w:pStyle w:val="Contenudetableau"/>
              <w:widowControl w:val="false"/>
              <w:suppressLineNumbers/>
              <w:bidi w:val="0"/>
              <w:jc w:val="left"/>
              <w:rPr/>
            </w:pPr>
            <w:r>
              <w:rPr/>
              <w:t>MVP</w:t>
            </w:r>
          </w:p>
        </w:tc>
      </w:tr>
      <w:tr>
        <w:trPr/>
        <w:tc>
          <w:tcPr>
            <w:tcW w:w="2309" w:type="dxa"/>
            <w:tcBorders/>
            <w:vAlign w:val="center"/>
          </w:tcPr>
          <w:p>
            <w:pPr>
              <w:pStyle w:val="Contenudetableau"/>
              <w:widowControl w:val="false"/>
              <w:suppressLineNumbers/>
              <w:bidi w:val="0"/>
              <w:jc w:val="left"/>
              <w:rPr/>
            </w:pPr>
            <w:r>
              <w:rPr>
                <w:rStyle w:val="Accentuationforte"/>
              </w:rPr>
              <w:t>Compte utilisateur</w:t>
            </w:r>
          </w:p>
        </w:tc>
        <w:tc>
          <w:tcPr>
            <w:tcW w:w="5841" w:type="dxa"/>
            <w:tcBorders/>
            <w:vAlign w:val="center"/>
          </w:tcPr>
          <w:p>
            <w:pPr>
              <w:pStyle w:val="Contenudetableau"/>
              <w:widowControl w:val="false"/>
              <w:suppressLineNumbers/>
              <w:bidi w:val="0"/>
              <w:jc w:val="left"/>
              <w:rPr/>
            </w:pPr>
            <w:r>
              <w:rPr/>
              <w:t>Historique des recherches et achats, liste de médicaments fréquents, partage avec proches.</w:t>
            </w:r>
          </w:p>
        </w:tc>
        <w:tc>
          <w:tcPr>
            <w:tcW w:w="1488" w:type="dxa"/>
            <w:tcBorders/>
            <w:vAlign w:val="center"/>
          </w:tcPr>
          <w:p>
            <w:pPr>
              <w:pStyle w:val="Contenudetableau"/>
              <w:widowControl w:val="false"/>
              <w:suppressLineNumbers/>
              <w:bidi w:val="0"/>
              <w:jc w:val="left"/>
              <w:rPr/>
            </w:pPr>
            <w:r>
              <w:rPr/>
              <w:t>MVP</w:t>
            </w:r>
          </w:p>
        </w:tc>
      </w:tr>
      <w:tr>
        <w:trPr/>
        <w:tc>
          <w:tcPr>
            <w:tcW w:w="2309" w:type="dxa"/>
            <w:tcBorders/>
            <w:vAlign w:val="center"/>
          </w:tcPr>
          <w:p>
            <w:pPr>
              <w:pStyle w:val="Contenudetableau"/>
              <w:widowControl w:val="false"/>
              <w:suppressLineNumbers/>
              <w:bidi w:val="0"/>
              <w:jc w:val="left"/>
              <w:rPr/>
            </w:pPr>
            <w:r>
              <w:rPr>
                <w:rStyle w:val="Accentuationforte"/>
              </w:rPr>
              <w:t>Sécurité et confidentialité</w:t>
            </w:r>
          </w:p>
        </w:tc>
        <w:tc>
          <w:tcPr>
            <w:tcW w:w="5841" w:type="dxa"/>
            <w:tcBorders/>
            <w:vAlign w:val="center"/>
          </w:tcPr>
          <w:p>
            <w:pPr>
              <w:pStyle w:val="Contenudetableau"/>
              <w:widowControl w:val="false"/>
              <w:suppressLineNumbers/>
              <w:bidi w:val="0"/>
              <w:jc w:val="left"/>
              <w:rPr/>
            </w:pPr>
            <w:r>
              <w:rPr/>
              <w:t>Protection des données médicales, authentification sécurisée, conformité RGPD et réglementations locales.</w:t>
            </w:r>
          </w:p>
        </w:tc>
        <w:tc>
          <w:tcPr>
            <w:tcW w:w="1488" w:type="dxa"/>
            <w:tcBorders/>
            <w:vAlign w:val="center"/>
          </w:tcPr>
          <w:p>
            <w:pPr>
              <w:pStyle w:val="Contenudetableau"/>
              <w:widowControl w:val="false"/>
              <w:suppressLineNumbers/>
              <w:bidi w:val="0"/>
              <w:jc w:val="left"/>
              <w:rPr/>
            </w:pPr>
            <w:r>
              <w:rPr/>
              <w:t>MVP</w:t>
            </w:r>
          </w:p>
        </w:tc>
      </w:tr>
      <w:tr>
        <w:trPr/>
        <w:tc>
          <w:tcPr>
            <w:tcW w:w="2309" w:type="dxa"/>
            <w:tcBorders/>
            <w:vAlign w:val="center"/>
          </w:tcPr>
          <w:p>
            <w:pPr>
              <w:pStyle w:val="Contenudetableau"/>
              <w:widowControl w:val="false"/>
              <w:suppressLineNumbers/>
              <w:bidi w:val="0"/>
              <w:jc w:val="left"/>
              <w:rPr/>
            </w:pPr>
            <w:r>
              <w:rPr>
                <w:rStyle w:val="Accentuationforte"/>
              </w:rPr>
              <w:t>Tableau de bord pharmacie</w:t>
            </w:r>
          </w:p>
        </w:tc>
        <w:tc>
          <w:tcPr>
            <w:tcW w:w="5841" w:type="dxa"/>
            <w:tcBorders/>
            <w:vAlign w:val="center"/>
          </w:tcPr>
          <w:p>
            <w:pPr>
              <w:pStyle w:val="Contenudetableau"/>
              <w:widowControl w:val="false"/>
              <w:suppressLineNumbers/>
              <w:bidi w:val="0"/>
              <w:jc w:val="left"/>
              <w:rPr/>
            </w:pPr>
            <w:r>
              <w:rPr/>
              <w:t>Mise à jour des stocks en temps réel, gestion des commandes et réservations, statistiques d’affluence et de ventes.</w:t>
            </w:r>
          </w:p>
        </w:tc>
        <w:tc>
          <w:tcPr>
            <w:tcW w:w="1488" w:type="dxa"/>
            <w:tcBorders/>
            <w:vAlign w:val="center"/>
          </w:tcPr>
          <w:p>
            <w:pPr>
              <w:pStyle w:val="Contenudetableau"/>
              <w:widowControl w:val="false"/>
              <w:suppressLineNumbers/>
              <w:bidi w:val="0"/>
              <w:jc w:val="left"/>
              <w:rPr/>
            </w:pPr>
            <w:r>
              <w:rPr/>
              <w:t>MVP</w:t>
            </w:r>
          </w:p>
        </w:tc>
      </w:tr>
      <w:tr>
        <w:trPr/>
        <w:tc>
          <w:tcPr>
            <w:tcW w:w="2309" w:type="dxa"/>
            <w:tcBorders/>
            <w:vAlign w:val="center"/>
          </w:tcPr>
          <w:p>
            <w:pPr>
              <w:pStyle w:val="Contenudetableau"/>
              <w:widowControl w:val="false"/>
              <w:suppressLineNumbers/>
              <w:bidi w:val="0"/>
              <w:jc w:val="left"/>
              <w:rPr/>
            </w:pPr>
            <w:r>
              <w:rPr>
                <w:rStyle w:val="Accentuationforte"/>
              </w:rPr>
              <w:t>Outils marketing pour pharmacies</w:t>
            </w:r>
          </w:p>
        </w:tc>
        <w:tc>
          <w:tcPr>
            <w:tcW w:w="5841" w:type="dxa"/>
            <w:tcBorders/>
            <w:vAlign w:val="center"/>
          </w:tcPr>
          <w:p>
            <w:pPr>
              <w:pStyle w:val="Contenudetableau"/>
              <w:widowControl w:val="false"/>
              <w:suppressLineNumbers/>
              <w:bidi w:val="0"/>
              <w:jc w:val="left"/>
              <w:rPr/>
            </w:pPr>
            <w:r>
              <w:rPr/>
              <w:t>Promotion de produits, programmes de fidélité, offres spéciales.</w:t>
            </w:r>
          </w:p>
        </w:tc>
        <w:tc>
          <w:tcPr>
            <w:tcW w:w="1488" w:type="dxa"/>
            <w:tcBorders/>
            <w:vAlign w:val="center"/>
          </w:tcPr>
          <w:p>
            <w:pPr>
              <w:pStyle w:val="Contenudetableau"/>
              <w:widowControl w:val="false"/>
              <w:suppressLineNumbers/>
              <w:bidi w:val="0"/>
              <w:jc w:val="left"/>
              <w:rPr/>
            </w:pPr>
            <w:r>
              <w:rPr/>
              <w:t>Future</w:t>
            </w:r>
          </w:p>
        </w:tc>
      </w:tr>
      <w:tr>
        <w:trPr/>
        <w:tc>
          <w:tcPr>
            <w:tcW w:w="2309" w:type="dxa"/>
            <w:tcBorders/>
            <w:vAlign w:val="center"/>
          </w:tcPr>
          <w:p>
            <w:pPr>
              <w:pStyle w:val="Contenudetableau"/>
              <w:widowControl w:val="false"/>
              <w:suppressLineNumbers/>
              <w:bidi w:val="0"/>
              <w:jc w:val="left"/>
              <w:rPr/>
            </w:pPr>
            <w:r>
              <w:rPr>
                <w:rStyle w:val="Accentuationforte"/>
              </w:rPr>
              <w:t>Livraison à domicile</w:t>
            </w:r>
          </w:p>
        </w:tc>
        <w:tc>
          <w:tcPr>
            <w:tcW w:w="5841" w:type="dxa"/>
            <w:tcBorders/>
            <w:vAlign w:val="center"/>
          </w:tcPr>
          <w:p>
            <w:pPr>
              <w:pStyle w:val="Contenudetableau"/>
              <w:widowControl w:val="false"/>
              <w:suppressLineNumbers/>
              <w:bidi w:val="0"/>
              <w:jc w:val="left"/>
              <w:rPr/>
            </w:pPr>
            <w:r>
              <w:rPr/>
              <w:t>Partenariats avec des livreurs locaux (type Glovo ou Jumia Food).</w:t>
            </w:r>
          </w:p>
        </w:tc>
        <w:tc>
          <w:tcPr>
            <w:tcW w:w="1488" w:type="dxa"/>
            <w:tcBorders/>
            <w:vAlign w:val="center"/>
          </w:tcPr>
          <w:p>
            <w:pPr>
              <w:pStyle w:val="Contenudetableau"/>
              <w:widowControl w:val="false"/>
              <w:suppressLineNumbers/>
              <w:bidi w:val="0"/>
              <w:jc w:val="left"/>
              <w:rPr/>
            </w:pPr>
            <w:r>
              <w:rPr/>
              <w:t>Future</w:t>
            </w:r>
          </w:p>
        </w:tc>
      </w:tr>
      <w:tr>
        <w:trPr/>
        <w:tc>
          <w:tcPr>
            <w:tcW w:w="2309" w:type="dxa"/>
            <w:tcBorders/>
            <w:vAlign w:val="center"/>
          </w:tcPr>
          <w:p>
            <w:pPr>
              <w:pStyle w:val="Contenudetableau"/>
              <w:widowControl w:val="false"/>
              <w:suppressLineNumbers/>
              <w:bidi w:val="0"/>
              <w:jc w:val="left"/>
              <w:rPr/>
            </w:pPr>
            <w:r>
              <w:rPr>
                <w:rStyle w:val="Accentuationforte"/>
              </w:rPr>
              <w:t>Télémédecine intégrée</w:t>
            </w:r>
          </w:p>
        </w:tc>
        <w:tc>
          <w:tcPr>
            <w:tcW w:w="5841" w:type="dxa"/>
            <w:tcBorders/>
            <w:vAlign w:val="center"/>
          </w:tcPr>
          <w:p>
            <w:pPr>
              <w:pStyle w:val="Contenudetableau"/>
              <w:widowControl w:val="false"/>
              <w:suppressLineNumbers/>
              <w:bidi w:val="0"/>
              <w:jc w:val="left"/>
              <w:rPr/>
            </w:pPr>
            <w:r>
              <w:rPr/>
              <w:t>Chat avec un pharmacien pour des conseils (sans remplacer une consultation médicale).</w:t>
            </w:r>
          </w:p>
        </w:tc>
        <w:tc>
          <w:tcPr>
            <w:tcW w:w="1488" w:type="dxa"/>
            <w:tcBorders/>
            <w:vAlign w:val="center"/>
          </w:tcPr>
          <w:p>
            <w:pPr>
              <w:pStyle w:val="Contenudetableau"/>
              <w:widowControl w:val="false"/>
              <w:suppressLineNumbers/>
              <w:bidi w:val="0"/>
              <w:jc w:val="left"/>
              <w:rPr/>
            </w:pPr>
            <w:r>
              <w:rPr/>
              <w:t>Future</w:t>
            </w:r>
          </w:p>
        </w:tc>
      </w:tr>
      <w:tr>
        <w:trPr/>
        <w:tc>
          <w:tcPr>
            <w:tcW w:w="2309" w:type="dxa"/>
            <w:tcBorders/>
            <w:vAlign w:val="center"/>
          </w:tcPr>
          <w:p>
            <w:pPr>
              <w:pStyle w:val="Contenudetableau"/>
              <w:widowControl w:val="false"/>
              <w:suppressLineNumbers/>
              <w:bidi w:val="0"/>
              <w:jc w:val="left"/>
              <w:rPr/>
            </w:pPr>
            <w:r>
              <w:rPr>
                <w:rStyle w:val="Accentuationforte"/>
              </w:rPr>
              <w:t>Paiement en ligne</w:t>
            </w:r>
          </w:p>
        </w:tc>
        <w:tc>
          <w:tcPr>
            <w:tcW w:w="5841" w:type="dxa"/>
            <w:tcBorders/>
            <w:vAlign w:val="center"/>
          </w:tcPr>
          <w:p>
            <w:pPr>
              <w:pStyle w:val="Contenudetableau"/>
              <w:widowControl w:val="false"/>
              <w:suppressLineNumbers/>
              <w:bidi w:val="0"/>
              <w:jc w:val="left"/>
              <w:rPr/>
            </w:pPr>
            <w:r>
              <w:rPr/>
              <w:t>Intégration avec Mobile Money (MTN, Orange), cartes bancaires.</w:t>
            </w:r>
          </w:p>
        </w:tc>
        <w:tc>
          <w:tcPr>
            <w:tcW w:w="1488" w:type="dxa"/>
            <w:tcBorders/>
            <w:vAlign w:val="center"/>
          </w:tcPr>
          <w:p>
            <w:pPr>
              <w:pStyle w:val="Contenudetableau"/>
              <w:widowControl w:val="false"/>
              <w:suppressLineNumbers/>
              <w:bidi w:val="0"/>
              <w:jc w:val="left"/>
              <w:rPr/>
            </w:pPr>
            <w:r>
              <w:rPr/>
              <w:t>Future</w:t>
            </w:r>
          </w:p>
        </w:tc>
      </w:tr>
      <w:tr>
        <w:trPr/>
        <w:tc>
          <w:tcPr>
            <w:tcW w:w="2309" w:type="dxa"/>
            <w:tcBorders/>
            <w:vAlign w:val="center"/>
          </w:tcPr>
          <w:p>
            <w:pPr>
              <w:pStyle w:val="Contenudetableau"/>
              <w:widowControl w:val="false"/>
              <w:suppressLineNumbers/>
              <w:bidi w:val="0"/>
              <w:jc w:val="left"/>
              <w:rPr/>
            </w:pPr>
            <w:r>
              <w:rPr>
                <w:rStyle w:val="Accentuationforte"/>
              </w:rPr>
              <w:t>Mode hors ligne</w:t>
            </w:r>
          </w:p>
        </w:tc>
        <w:tc>
          <w:tcPr>
            <w:tcW w:w="5841" w:type="dxa"/>
            <w:tcBorders/>
            <w:vAlign w:val="center"/>
          </w:tcPr>
          <w:p>
            <w:pPr>
              <w:pStyle w:val="Contenudetableau"/>
              <w:widowControl w:val="false"/>
              <w:suppressLineNumbers/>
              <w:bidi w:val="0"/>
              <w:jc w:val="left"/>
              <w:rPr/>
            </w:pPr>
            <w:r>
              <w:rPr/>
              <w:t>Accès limité aux données téléchargées (pharmacies de garde, médicaments).</w:t>
            </w:r>
          </w:p>
        </w:tc>
        <w:tc>
          <w:tcPr>
            <w:tcW w:w="1488" w:type="dxa"/>
            <w:tcBorders/>
            <w:vAlign w:val="center"/>
          </w:tcPr>
          <w:p>
            <w:pPr>
              <w:pStyle w:val="Contenudetableau"/>
              <w:widowControl w:val="false"/>
              <w:suppressLineNumbers/>
              <w:bidi w:val="0"/>
              <w:jc w:val="left"/>
              <w:rPr/>
            </w:pPr>
            <w:r>
              <w:rPr/>
              <w:t>Future</w:t>
            </w:r>
          </w:p>
        </w:tc>
      </w:tr>
    </w:tbl>
    <w:p>
      <w:pPr>
        <w:pStyle w:val="Lignehorizontale"/>
        <w:suppressLineNumbers/>
        <w:pBdr>
          <w:bottom w:val="double" w:sz="2" w:space="0" w:color="808080"/>
        </w:pBdr>
        <w:bidi w:val="0"/>
        <w:spacing w:before="0" w:after="283"/>
        <w:jc w:val="left"/>
        <w:rPr/>
      </w:pPr>
      <w:r>
        <w:rPr/>
      </w:r>
    </w:p>
    <w:p>
      <w:pPr>
        <w:pStyle w:val="Titre2"/>
        <w:bidi w:val="0"/>
        <w:jc w:val="left"/>
        <w:rPr/>
      </w:pPr>
      <w:r>
        <w:rPr/>
        <w:t>Contraintes et exigences techniques</w:t>
      </w:r>
    </w:p>
    <w:p>
      <w:pPr>
        <w:pStyle w:val="Titre3"/>
        <w:bidi w:val="0"/>
        <w:jc w:val="left"/>
        <w:rPr/>
      </w:pPr>
      <w:r>
        <w:rPr/>
        <w:t>Plateformes cibles</w:t>
      </w:r>
    </w:p>
    <w:p>
      <w:pPr>
        <w:pStyle w:val="Corpsdetexte"/>
        <w:numPr>
          <w:ilvl w:val="0"/>
          <w:numId w:val="7"/>
        </w:numPr>
        <w:tabs>
          <w:tab w:val="left" w:pos="709" w:leader="none"/>
        </w:tabs>
        <w:bidi w:val="0"/>
        <w:spacing w:before="0" w:after="0"/>
        <w:ind w:left="709" w:hanging="283"/>
        <w:jc w:val="left"/>
        <w:rPr/>
      </w:pPr>
      <w:r>
        <w:rPr/>
        <w:t xml:space="preserve">Mobile : </w:t>
      </w:r>
      <w:r>
        <w:rPr>
          <w:rStyle w:val="Accentuationforte"/>
        </w:rPr>
        <w:t>Android</w:t>
      </w:r>
      <w:r>
        <w:rPr/>
        <w:t xml:space="preserve"> (prioritaire, part de marché majoritaire en Côte d’Ivoire), </w:t>
      </w:r>
      <w:r>
        <w:rPr>
          <w:rStyle w:val="Accentuationforte"/>
        </w:rPr>
        <w:t>iOS</w:t>
      </w:r>
      <w:r>
        <w:rPr/>
        <w:t xml:space="preserve">. </w:t>
      </w:r>
    </w:p>
    <w:p>
      <w:pPr>
        <w:pStyle w:val="Corpsdetexte"/>
        <w:numPr>
          <w:ilvl w:val="0"/>
          <w:numId w:val="7"/>
        </w:numPr>
        <w:tabs>
          <w:tab w:val="left" w:pos="709" w:leader="none"/>
        </w:tabs>
        <w:bidi w:val="0"/>
        <w:ind w:left="709" w:hanging="283"/>
        <w:jc w:val="left"/>
        <w:rPr/>
      </w:pPr>
      <w:r>
        <w:rPr/>
        <w:t xml:space="preserve">Web : Version responsive pour ordinateurs (gestion des pharmacies). </w:t>
      </w:r>
    </w:p>
    <w:p>
      <w:pPr>
        <w:pStyle w:val="Titre3"/>
        <w:bidi w:val="0"/>
        <w:jc w:val="left"/>
        <w:rPr/>
      </w:pPr>
      <w:r>
        <w:rPr/>
        <w:t>Technologies recommandées</w:t>
      </w:r>
    </w:p>
    <w:p>
      <w:pPr>
        <w:pStyle w:val="Corpsdetexte"/>
        <w:numPr>
          <w:ilvl w:val="0"/>
          <w:numId w:val="8"/>
        </w:numPr>
        <w:tabs>
          <w:tab w:val="left" w:pos="709" w:leader="none"/>
        </w:tabs>
        <w:bidi w:val="0"/>
        <w:spacing w:before="0" w:after="0"/>
        <w:ind w:left="709" w:hanging="283"/>
        <w:jc w:val="left"/>
        <w:rPr/>
      </w:pPr>
      <w:r>
        <w:rPr/>
        <w:t xml:space="preserve">Frontend : </w:t>
      </w:r>
      <w:r>
        <w:rPr>
          <w:rStyle w:val="Accentuationforte"/>
        </w:rPr>
        <w:t>React Native</w:t>
      </w:r>
      <w:r>
        <w:rPr/>
        <w:t xml:space="preserve"> (cross-platform) ou </w:t>
      </w:r>
      <w:r>
        <w:rPr>
          <w:rStyle w:val="Accentuationforte"/>
        </w:rPr>
        <w:t>Flutter</w:t>
      </w:r>
      <w:r>
        <w:rPr/>
        <w:t xml:space="preserve"> pour une interface unique Android/iOS. </w:t>
      </w:r>
    </w:p>
    <w:p>
      <w:pPr>
        <w:pStyle w:val="Corpsdetexte"/>
        <w:numPr>
          <w:ilvl w:val="0"/>
          <w:numId w:val="8"/>
        </w:numPr>
        <w:tabs>
          <w:tab w:val="left" w:pos="709" w:leader="none"/>
        </w:tabs>
        <w:bidi w:val="0"/>
        <w:spacing w:before="0" w:after="0"/>
        <w:ind w:left="709" w:hanging="283"/>
        <w:jc w:val="left"/>
        <w:rPr/>
      </w:pPr>
      <w:r>
        <w:rPr/>
        <w:t xml:space="preserve">Backend : </w:t>
      </w:r>
      <w:r>
        <w:rPr>
          <w:rStyle w:val="Accentuationforte"/>
        </w:rPr>
        <w:t>Node.js</w:t>
      </w:r>
      <w:r>
        <w:rPr/>
        <w:t xml:space="preserve">, </w:t>
      </w:r>
      <w:r>
        <w:rPr>
          <w:rStyle w:val="Accentuationforte"/>
        </w:rPr>
        <w:t>Python (Django/Flask)</w:t>
      </w:r>
      <w:r>
        <w:rPr/>
        <w:t xml:space="preserve">, ou </w:t>
      </w:r>
      <w:r>
        <w:rPr>
          <w:rStyle w:val="Accentuationforte"/>
        </w:rPr>
        <w:t>PHP (Laravel)</w:t>
      </w:r>
      <w:r>
        <w:rPr/>
        <w:t xml:space="preserve">. </w:t>
      </w:r>
    </w:p>
    <w:p>
      <w:pPr>
        <w:pStyle w:val="Corpsdetexte"/>
        <w:numPr>
          <w:ilvl w:val="0"/>
          <w:numId w:val="8"/>
        </w:numPr>
        <w:tabs>
          <w:tab w:val="left" w:pos="709" w:leader="none"/>
        </w:tabs>
        <w:bidi w:val="0"/>
        <w:spacing w:before="0" w:after="0"/>
        <w:ind w:left="709" w:hanging="283"/>
        <w:jc w:val="left"/>
        <w:rPr/>
      </w:pPr>
      <w:r>
        <w:rPr/>
        <w:t xml:space="preserve">Base de données : </w:t>
      </w:r>
      <w:r>
        <w:rPr>
          <w:rStyle w:val="Accentuationforte"/>
        </w:rPr>
        <w:t>Firebase</w:t>
      </w:r>
      <w:r>
        <w:rPr/>
        <w:t xml:space="preserve"> (pour un MVP rapide) ou </w:t>
      </w:r>
      <w:r>
        <w:rPr>
          <w:rStyle w:val="Accentuationforte"/>
        </w:rPr>
        <w:t>PostgreSQL/MySQL</w:t>
      </w:r>
      <w:r>
        <w:rPr/>
        <w:t xml:space="preserve"> (solution scalable). </w:t>
      </w:r>
    </w:p>
    <w:p>
      <w:pPr>
        <w:pStyle w:val="Corpsdetexte"/>
        <w:numPr>
          <w:ilvl w:val="0"/>
          <w:numId w:val="8"/>
        </w:numPr>
        <w:tabs>
          <w:tab w:val="left" w:pos="709" w:leader="none"/>
        </w:tabs>
        <w:bidi w:val="0"/>
        <w:spacing w:before="0" w:after="0"/>
        <w:ind w:left="709" w:hanging="283"/>
        <w:jc w:val="left"/>
        <w:rPr/>
      </w:pPr>
      <w:r>
        <w:rPr/>
        <w:t xml:space="preserve">Géolocalisation : API </w:t>
      </w:r>
      <w:r>
        <w:rPr>
          <w:rStyle w:val="Accentuationforte"/>
        </w:rPr>
        <w:t>Google Maps</w:t>
      </w:r>
      <w:r>
        <w:rPr/>
        <w:t xml:space="preserve"> ou </w:t>
      </w:r>
      <w:r>
        <w:rPr>
          <w:rStyle w:val="Accentuationforte"/>
        </w:rPr>
        <w:t>OpenStreetMap</w:t>
      </w:r>
      <w:r>
        <w:rPr/>
        <w:t xml:space="preserve"> (moins coûteux). </w:t>
      </w:r>
    </w:p>
    <w:p>
      <w:pPr>
        <w:pStyle w:val="Corpsdetexte"/>
        <w:numPr>
          <w:ilvl w:val="0"/>
          <w:numId w:val="8"/>
        </w:numPr>
        <w:tabs>
          <w:tab w:val="left" w:pos="709" w:leader="none"/>
        </w:tabs>
        <w:bidi w:val="0"/>
        <w:ind w:left="709" w:hanging="283"/>
        <w:jc w:val="left"/>
        <w:rPr/>
      </w:pPr>
      <w:r>
        <w:rPr/>
        <w:t xml:space="preserve">Hébergement : Serveurs locaux pour réduire la latence ou cloud (AWS, Azure). </w:t>
      </w:r>
    </w:p>
    <w:p>
      <w:pPr>
        <w:pStyle w:val="Titre3"/>
        <w:bidi w:val="0"/>
        <w:jc w:val="left"/>
        <w:rPr/>
      </w:pPr>
      <w:r>
        <w:rPr/>
        <w:t>Sécurité</w:t>
      </w:r>
    </w:p>
    <w:p>
      <w:pPr>
        <w:pStyle w:val="Corpsdetexte"/>
        <w:numPr>
          <w:ilvl w:val="0"/>
          <w:numId w:val="9"/>
        </w:numPr>
        <w:tabs>
          <w:tab w:val="left" w:pos="709" w:leader="none"/>
        </w:tabs>
        <w:bidi w:val="0"/>
        <w:spacing w:before="0" w:after="0"/>
        <w:ind w:left="709" w:hanging="283"/>
        <w:jc w:val="left"/>
        <w:rPr/>
      </w:pPr>
      <w:r>
        <w:rPr/>
        <w:t xml:space="preserve">Chiffrement des données sensibles (médicaments, coordonnées). </w:t>
      </w:r>
    </w:p>
    <w:p>
      <w:pPr>
        <w:pStyle w:val="Corpsdetexte"/>
        <w:numPr>
          <w:ilvl w:val="0"/>
          <w:numId w:val="9"/>
        </w:numPr>
        <w:tabs>
          <w:tab w:val="left" w:pos="709" w:leader="none"/>
        </w:tabs>
        <w:bidi w:val="0"/>
        <w:ind w:left="709" w:hanging="283"/>
        <w:jc w:val="left"/>
        <w:rPr/>
      </w:pPr>
      <w:r>
        <w:rPr/>
        <w:t xml:space="preserve">Conformité avec les réglementations ivoiriennes sur la vente de médicaments en ligne (à vérifier auprès du Ministère de la Santé). </w:t>
      </w:r>
    </w:p>
    <w:p>
      <w:pPr>
        <w:pStyle w:val="Titre3"/>
        <w:bidi w:val="0"/>
        <w:jc w:val="left"/>
        <w:rPr/>
      </w:pPr>
      <w:r>
        <w:rPr/>
        <w:t>Performance</w:t>
      </w:r>
    </w:p>
    <w:p>
      <w:pPr>
        <w:pStyle w:val="Corpsdetexte"/>
        <w:numPr>
          <w:ilvl w:val="0"/>
          <w:numId w:val="10"/>
        </w:numPr>
        <w:tabs>
          <w:tab w:val="left" w:pos="709" w:leader="none"/>
        </w:tabs>
        <w:bidi w:val="0"/>
        <w:spacing w:before="0" w:after="0"/>
        <w:ind w:left="709" w:hanging="283"/>
        <w:jc w:val="left"/>
        <w:rPr/>
      </w:pPr>
      <w:r>
        <w:rPr/>
        <w:t xml:space="preserve">Optimisation pour réseaux mobiles souvent lents (2G/3G). </w:t>
      </w:r>
    </w:p>
    <w:p>
      <w:pPr>
        <w:pStyle w:val="Corpsdetexte"/>
        <w:numPr>
          <w:ilvl w:val="0"/>
          <w:numId w:val="10"/>
        </w:numPr>
        <w:tabs>
          <w:tab w:val="left" w:pos="709" w:leader="none"/>
        </w:tabs>
        <w:bidi w:val="0"/>
        <w:ind w:left="709" w:hanging="283"/>
        <w:jc w:val="left"/>
        <w:rPr/>
      </w:pPr>
      <w:r>
        <w:rPr/>
        <w:t xml:space="preserve">Faible consommation de données. </w:t>
      </w:r>
    </w:p>
    <w:p>
      <w:pPr>
        <w:pStyle w:val="Lignehorizontale"/>
        <w:bidi w:val="0"/>
        <w:jc w:val="left"/>
        <w:rPr/>
      </w:pPr>
      <w:r>
        <w:rPr/>
      </w:r>
    </w:p>
    <w:p>
      <w:pPr>
        <w:pStyle w:val="Titre2"/>
        <w:bidi w:val="0"/>
        <w:jc w:val="left"/>
        <w:rPr/>
      </w:pPr>
      <w:r>
        <w:rPr/>
        <w:t>Modèle économique</w:t>
      </w:r>
    </w:p>
    <w:p>
      <w:pPr>
        <w:pStyle w:val="Corpsdetexte"/>
        <w:numPr>
          <w:ilvl w:val="0"/>
          <w:numId w:val="11"/>
        </w:numPr>
        <w:tabs>
          <w:tab w:val="left" w:pos="709" w:leader="none"/>
        </w:tabs>
        <w:bidi w:val="0"/>
        <w:spacing w:before="0" w:after="0"/>
        <w:ind w:left="709" w:hanging="283"/>
        <w:jc w:val="left"/>
        <w:rPr/>
      </w:pPr>
      <w:r>
        <w:rPr>
          <w:rStyle w:val="Accentuationforte"/>
        </w:rPr>
        <w:t>Gratuit pour les utilisateurs</w:t>
      </w:r>
      <w:r>
        <w:rPr/>
        <w:t xml:space="preserve"> : Financement par publicités ciblées (pharmacies, laboratoires) et abonnements pour les pharmacies (modèle freemium). </w:t>
      </w:r>
    </w:p>
    <w:p>
      <w:pPr>
        <w:pStyle w:val="Corpsdetexte"/>
        <w:numPr>
          <w:ilvl w:val="0"/>
          <w:numId w:val="11"/>
        </w:numPr>
        <w:tabs>
          <w:tab w:val="left" w:pos="709" w:leader="none"/>
        </w:tabs>
        <w:bidi w:val="0"/>
        <w:spacing w:before="0" w:after="0"/>
        <w:ind w:left="709" w:hanging="283"/>
        <w:jc w:val="left"/>
        <w:rPr/>
      </w:pPr>
      <w:r>
        <w:rPr>
          <w:rStyle w:val="Accentuationforte"/>
        </w:rPr>
        <w:t>Abonnement pour les pharmacies</w:t>
      </w:r>
      <w:r>
        <w:rPr/>
        <w:t xml:space="preserve"> : Fonctions basiques gratuites, fonctions avancées (marketing, statistiques) payantes. </w:t>
      </w:r>
    </w:p>
    <w:p>
      <w:pPr>
        <w:pStyle w:val="Corpsdetexte"/>
        <w:numPr>
          <w:ilvl w:val="0"/>
          <w:numId w:val="11"/>
        </w:numPr>
        <w:tabs>
          <w:tab w:val="left" w:pos="709" w:leader="none"/>
        </w:tabs>
        <w:bidi w:val="0"/>
        <w:spacing w:before="0" w:after="0"/>
        <w:ind w:left="709" w:hanging="283"/>
        <w:jc w:val="left"/>
        <w:rPr/>
      </w:pPr>
      <w:r>
        <w:rPr>
          <w:rStyle w:val="Accentuationforte"/>
        </w:rPr>
        <w:t>Partenariats</w:t>
      </w:r>
      <w:r>
        <w:rPr/>
        <w:t xml:space="preserve"> : Collaborations avec assurances santé, ONG, autorités sanitaires pour subventionner l’accès. </w:t>
      </w:r>
    </w:p>
    <w:p>
      <w:pPr>
        <w:pStyle w:val="Corpsdetexte"/>
        <w:numPr>
          <w:ilvl w:val="0"/>
          <w:numId w:val="11"/>
        </w:numPr>
        <w:tabs>
          <w:tab w:val="left" w:pos="709" w:leader="none"/>
        </w:tabs>
        <w:bidi w:val="0"/>
        <w:ind w:left="709" w:hanging="283"/>
        <w:jc w:val="left"/>
        <w:rPr/>
      </w:pPr>
      <w:r>
        <w:rPr>
          <w:rStyle w:val="Accentuationforte"/>
        </w:rPr>
        <w:t>Commission sur les ventes ou livraisons</w:t>
      </w:r>
      <w:r>
        <w:rPr/>
        <w:t xml:space="preserve"> : Si intégration de paiement en ligne et livraison. </w:t>
      </w:r>
    </w:p>
    <w:p>
      <w:pPr>
        <w:pStyle w:val="Lignehorizontale"/>
        <w:bidi w:val="0"/>
        <w:jc w:val="left"/>
        <w:rPr/>
      </w:pPr>
      <w:r>
        <w:rPr/>
      </w:r>
    </w:p>
    <w:p>
      <w:pPr>
        <w:pStyle w:val="Titre2"/>
        <w:bidi w:val="0"/>
        <w:jc w:val="left"/>
        <w:rPr/>
      </w:pPr>
      <w:r>
        <w:rPr/>
        <w:t>Étapes de développement et planning</w:t>
      </w:r>
    </w:p>
    <w:tbl>
      <w:tblPr>
        <w:tblW w:w="9638" w:type="dxa"/>
        <w:jc w:val="left"/>
        <w:tblInd w:w="0" w:type="dxa"/>
        <w:tblLayout w:type="fixed"/>
        <w:tblCellMar>
          <w:top w:w="28" w:type="dxa"/>
          <w:left w:w="28" w:type="dxa"/>
          <w:bottom w:w="28" w:type="dxa"/>
          <w:right w:w="28" w:type="dxa"/>
        </w:tblCellMar>
      </w:tblPr>
      <w:tblGrid>
        <w:gridCol w:w="2750"/>
        <w:gridCol w:w="1307"/>
        <w:gridCol w:w="5581"/>
      </w:tblGrid>
      <w:tr>
        <w:trPr>
          <w:tblHeader w:val="true"/>
        </w:trPr>
        <w:tc>
          <w:tcPr>
            <w:tcW w:w="2750" w:type="dxa"/>
            <w:tcBorders/>
            <w:vAlign w:val="center"/>
          </w:tcPr>
          <w:p>
            <w:pPr>
              <w:pStyle w:val="Titredetableau"/>
              <w:widowControl w:val="false"/>
              <w:suppressLineNumbers/>
              <w:bidi w:val="0"/>
              <w:jc w:val="center"/>
              <w:rPr/>
            </w:pPr>
            <w:r>
              <w:rPr/>
              <w:t>Phase</w:t>
            </w:r>
          </w:p>
        </w:tc>
        <w:tc>
          <w:tcPr>
            <w:tcW w:w="1307" w:type="dxa"/>
            <w:tcBorders/>
            <w:vAlign w:val="center"/>
          </w:tcPr>
          <w:p>
            <w:pPr>
              <w:pStyle w:val="Titredetableau"/>
              <w:widowControl w:val="false"/>
              <w:suppressLineNumbers/>
              <w:bidi w:val="0"/>
              <w:jc w:val="center"/>
              <w:rPr/>
            </w:pPr>
            <w:r>
              <w:rPr/>
              <w:t>Durée estimée</w:t>
            </w:r>
          </w:p>
        </w:tc>
        <w:tc>
          <w:tcPr>
            <w:tcW w:w="5581" w:type="dxa"/>
            <w:tcBorders/>
            <w:vAlign w:val="center"/>
          </w:tcPr>
          <w:p>
            <w:pPr>
              <w:pStyle w:val="Titredetableau"/>
              <w:widowControl w:val="false"/>
              <w:suppressLineNumbers/>
              <w:bidi w:val="0"/>
              <w:jc w:val="center"/>
              <w:rPr/>
            </w:pPr>
            <w:r>
              <w:rPr/>
              <w:t>Description</w:t>
            </w:r>
          </w:p>
        </w:tc>
      </w:tr>
      <w:tr>
        <w:trPr/>
        <w:tc>
          <w:tcPr>
            <w:tcW w:w="2750" w:type="dxa"/>
            <w:tcBorders/>
            <w:vAlign w:val="center"/>
          </w:tcPr>
          <w:p>
            <w:pPr>
              <w:pStyle w:val="Contenudetableau"/>
              <w:widowControl w:val="false"/>
              <w:suppressLineNumbers/>
              <w:bidi w:val="0"/>
              <w:jc w:val="left"/>
              <w:rPr/>
            </w:pPr>
            <w:r>
              <w:rPr>
                <w:rStyle w:val="Accentuationforte"/>
              </w:rPr>
              <w:t>Phase 1 : Recherche et Validation</w:t>
            </w:r>
          </w:p>
        </w:tc>
        <w:tc>
          <w:tcPr>
            <w:tcW w:w="1307" w:type="dxa"/>
            <w:tcBorders/>
            <w:vAlign w:val="center"/>
          </w:tcPr>
          <w:p>
            <w:pPr>
              <w:pStyle w:val="Contenudetableau"/>
              <w:widowControl w:val="false"/>
              <w:suppressLineNumbers/>
              <w:bidi w:val="0"/>
              <w:jc w:val="left"/>
              <w:rPr/>
            </w:pPr>
            <w:r>
              <w:rPr/>
              <w:t>2-3 mois</w:t>
            </w:r>
          </w:p>
        </w:tc>
        <w:tc>
          <w:tcPr>
            <w:tcW w:w="5581" w:type="dxa"/>
            <w:tcBorders/>
            <w:vAlign w:val="center"/>
          </w:tcPr>
          <w:p>
            <w:pPr>
              <w:pStyle w:val="Contenudetableau"/>
              <w:widowControl w:val="false"/>
              <w:suppressLineNumbers/>
              <w:bidi w:val="0"/>
              <w:jc w:val="left"/>
              <w:rPr/>
            </w:pPr>
            <w:r>
              <w:rPr/>
              <w:t>Étude de marché, interviews, prototype cliquable (Figma/Adobe XD).</w:t>
            </w:r>
          </w:p>
        </w:tc>
      </w:tr>
      <w:tr>
        <w:trPr/>
        <w:tc>
          <w:tcPr>
            <w:tcW w:w="2750" w:type="dxa"/>
            <w:tcBorders/>
            <w:vAlign w:val="center"/>
          </w:tcPr>
          <w:p>
            <w:pPr>
              <w:pStyle w:val="Contenudetableau"/>
              <w:widowControl w:val="false"/>
              <w:suppressLineNumbers/>
              <w:bidi w:val="0"/>
              <w:jc w:val="left"/>
              <w:rPr/>
            </w:pPr>
            <w:r>
              <w:rPr>
                <w:rStyle w:val="Accentuationforte"/>
              </w:rPr>
              <w:t>Phase 2 : MVP</w:t>
            </w:r>
          </w:p>
        </w:tc>
        <w:tc>
          <w:tcPr>
            <w:tcW w:w="1307" w:type="dxa"/>
            <w:tcBorders/>
            <w:vAlign w:val="center"/>
          </w:tcPr>
          <w:p>
            <w:pPr>
              <w:pStyle w:val="Contenudetableau"/>
              <w:widowControl w:val="false"/>
              <w:suppressLineNumbers/>
              <w:bidi w:val="0"/>
              <w:jc w:val="left"/>
              <w:rPr/>
            </w:pPr>
            <w:r>
              <w:rPr/>
              <w:t>4-6 mois</w:t>
            </w:r>
          </w:p>
        </w:tc>
        <w:tc>
          <w:tcPr>
            <w:tcW w:w="5581" w:type="dxa"/>
            <w:tcBorders/>
            <w:vAlign w:val="center"/>
          </w:tcPr>
          <w:p>
            <w:pPr>
              <w:pStyle w:val="Contenudetableau"/>
              <w:widowControl w:val="false"/>
              <w:suppressLineNumbers/>
              <w:bidi w:val="0"/>
              <w:jc w:val="left"/>
              <w:rPr/>
            </w:pPr>
            <w:r>
              <w:rPr/>
              <w:t>Développement des fonctionnalités core, tests bêta avec pharmacies et utilisateurs.</w:t>
            </w:r>
          </w:p>
        </w:tc>
      </w:tr>
      <w:tr>
        <w:trPr/>
        <w:tc>
          <w:tcPr>
            <w:tcW w:w="2750" w:type="dxa"/>
            <w:tcBorders/>
            <w:vAlign w:val="center"/>
          </w:tcPr>
          <w:p>
            <w:pPr>
              <w:pStyle w:val="Contenudetableau"/>
              <w:widowControl w:val="false"/>
              <w:suppressLineNumbers/>
              <w:bidi w:val="0"/>
              <w:jc w:val="left"/>
              <w:rPr/>
            </w:pPr>
            <w:r>
              <w:rPr>
                <w:rStyle w:val="Accentuationforte"/>
              </w:rPr>
              <w:t>Phase 3 : Lancement et Scaling</w:t>
            </w:r>
          </w:p>
        </w:tc>
        <w:tc>
          <w:tcPr>
            <w:tcW w:w="1307" w:type="dxa"/>
            <w:tcBorders/>
            <w:vAlign w:val="center"/>
          </w:tcPr>
          <w:p>
            <w:pPr>
              <w:pStyle w:val="Contenudetableau"/>
              <w:widowControl w:val="false"/>
              <w:suppressLineNumbers/>
              <w:bidi w:val="0"/>
              <w:jc w:val="left"/>
              <w:rPr/>
            </w:pPr>
            <w:r>
              <w:rPr/>
              <w:t>3-6 mois</w:t>
            </w:r>
          </w:p>
        </w:tc>
        <w:tc>
          <w:tcPr>
            <w:tcW w:w="5581" w:type="dxa"/>
            <w:tcBorders/>
            <w:vAlign w:val="center"/>
          </w:tcPr>
          <w:p>
            <w:pPr>
              <w:pStyle w:val="Contenudetableau"/>
              <w:widowControl w:val="false"/>
              <w:suppressLineNumbers/>
              <w:bidi w:val="0"/>
              <w:jc w:val="left"/>
              <w:rPr/>
            </w:pPr>
            <w:r>
              <w:rPr/>
              <w:t>Campagne de communication, expansion progressive (Abidjan puis autres villes).</w:t>
            </w:r>
          </w:p>
        </w:tc>
      </w:tr>
      <w:tr>
        <w:trPr/>
        <w:tc>
          <w:tcPr>
            <w:tcW w:w="2750" w:type="dxa"/>
            <w:tcBorders/>
            <w:vAlign w:val="center"/>
          </w:tcPr>
          <w:p>
            <w:pPr>
              <w:pStyle w:val="Contenudetableau"/>
              <w:widowControl w:val="false"/>
              <w:suppressLineNumbers/>
              <w:bidi w:val="0"/>
              <w:jc w:val="left"/>
              <w:rPr/>
            </w:pPr>
            <w:r>
              <w:rPr>
                <w:rStyle w:val="Accentuationforte"/>
              </w:rPr>
              <w:t>Phase 4 : Améliorations</w:t>
            </w:r>
          </w:p>
        </w:tc>
        <w:tc>
          <w:tcPr>
            <w:tcW w:w="1307" w:type="dxa"/>
            <w:tcBorders/>
            <w:vAlign w:val="center"/>
          </w:tcPr>
          <w:p>
            <w:pPr>
              <w:pStyle w:val="Contenudetableau"/>
              <w:widowControl w:val="false"/>
              <w:suppressLineNumbers/>
              <w:bidi w:val="0"/>
              <w:jc w:val="left"/>
              <w:rPr/>
            </w:pPr>
            <w:r>
              <w:rPr/>
              <w:t>Continue</w:t>
            </w:r>
          </w:p>
        </w:tc>
        <w:tc>
          <w:tcPr>
            <w:tcW w:w="5581" w:type="dxa"/>
            <w:tcBorders/>
            <w:vAlign w:val="center"/>
          </w:tcPr>
          <w:p>
            <w:pPr>
              <w:pStyle w:val="Contenudetableau"/>
              <w:widowControl w:val="false"/>
              <w:suppressLineNumbers/>
              <w:bidi w:val="0"/>
              <w:jc w:val="left"/>
              <w:rPr/>
            </w:pPr>
            <w:r>
              <w:rPr/>
              <w:t>Ajout de fonctionnalités avancées, maintenance, mises à jour régulières, suivi des KPI.</w:t>
            </w:r>
          </w:p>
        </w:tc>
      </w:tr>
    </w:tbl>
    <w:p>
      <w:pPr>
        <w:pStyle w:val="Lignehorizontale"/>
        <w:suppressLineNumbers/>
        <w:pBdr>
          <w:bottom w:val="double" w:sz="2" w:space="0" w:color="808080"/>
        </w:pBdr>
        <w:bidi w:val="0"/>
        <w:spacing w:before="0" w:after="283"/>
        <w:jc w:val="left"/>
        <w:rPr/>
      </w:pPr>
      <w:r>
        <w:rPr/>
      </w:r>
    </w:p>
    <w:p>
      <w:pPr>
        <w:pStyle w:val="Titre2"/>
        <w:bidi w:val="0"/>
        <w:jc w:val="left"/>
        <w:rPr/>
      </w:pPr>
      <w:r>
        <w:rPr/>
        <w:t>Stratégie de communication et acquisition d’utilisateurs</w:t>
      </w:r>
    </w:p>
    <w:p>
      <w:pPr>
        <w:pStyle w:val="Corpsdetexte"/>
        <w:numPr>
          <w:ilvl w:val="0"/>
          <w:numId w:val="12"/>
        </w:numPr>
        <w:tabs>
          <w:tab w:val="left" w:pos="709" w:leader="none"/>
        </w:tabs>
        <w:bidi w:val="0"/>
        <w:spacing w:before="0" w:after="0"/>
        <w:ind w:left="709" w:hanging="283"/>
        <w:jc w:val="left"/>
        <w:rPr/>
      </w:pPr>
      <w:r>
        <w:rPr>
          <w:rStyle w:val="Accentuationforte"/>
        </w:rPr>
        <w:t>Réseaux sociaux</w:t>
      </w:r>
      <w:r>
        <w:rPr/>
        <w:t xml:space="preserve"> : Facebook, Instagram, TikTok, LinkedIn pour campagnes publicitaires et collaborations avec influenceurs locaux. </w:t>
      </w:r>
    </w:p>
    <w:p>
      <w:pPr>
        <w:pStyle w:val="Corpsdetexte"/>
        <w:numPr>
          <w:ilvl w:val="0"/>
          <w:numId w:val="12"/>
        </w:numPr>
        <w:tabs>
          <w:tab w:val="left" w:pos="709" w:leader="none"/>
        </w:tabs>
        <w:bidi w:val="0"/>
        <w:spacing w:before="0" w:after="0"/>
        <w:ind w:left="709" w:hanging="283"/>
        <w:jc w:val="left"/>
        <w:rPr/>
      </w:pPr>
      <w:r>
        <w:rPr>
          <w:rStyle w:val="Accentuationforte"/>
        </w:rPr>
        <w:t>Marketing vidéo</w:t>
      </w:r>
      <w:r>
        <w:rPr/>
        <w:t xml:space="preserve"> : Vidéos courtes et dynamiques adaptées à la culture locale. </w:t>
      </w:r>
    </w:p>
    <w:p>
      <w:pPr>
        <w:pStyle w:val="Corpsdetexte"/>
        <w:numPr>
          <w:ilvl w:val="0"/>
          <w:numId w:val="12"/>
        </w:numPr>
        <w:tabs>
          <w:tab w:val="left" w:pos="709" w:leader="none"/>
        </w:tabs>
        <w:bidi w:val="0"/>
        <w:spacing w:before="0" w:after="0"/>
        <w:ind w:left="709" w:hanging="283"/>
        <w:jc w:val="left"/>
        <w:rPr/>
      </w:pPr>
      <w:r>
        <w:rPr>
          <w:rStyle w:val="Accentuationforte"/>
        </w:rPr>
        <w:t>Influenceurs locaux</w:t>
      </w:r>
      <w:r>
        <w:rPr/>
        <w:t xml:space="preserve"> : Partenariats avec des influenceurs reconnus pour sensibiliser et engager le public. </w:t>
      </w:r>
    </w:p>
    <w:p>
      <w:pPr>
        <w:pStyle w:val="Corpsdetexte"/>
        <w:numPr>
          <w:ilvl w:val="0"/>
          <w:numId w:val="12"/>
        </w:numPr>
        <w:tabs>
          <w:tab w:val="left" w:pos="709" w:leader="none"/>
        </w:tabs>
        <w:bidi w:val="0"/>
        <w:spacing w:before="0" w:after="0"/>
        <w:ind w:left="709" w:hanging="283"/>
        <w:jc w:val="left"/>
        <w:rPr/>
      </w:pPr>
      <w:r>
        <w:rPr>
          <w:rStyle w:val="Accentuationforte"/>
        </w:rPr>
        <w:t>Agences de publicité</w:t>
      </w:r>
      <w:r>
        <w:rPr/>
        <w:t xml:space="preserve"> : Utilisation des services d’agences locales pour la conception et la diffusion des campagnes. </w:t>
      </w:r>
    </w:p>
    <w:p>
      <w:pPr>
        <w:pStyle w:val="Corpsdetexte"/>
        <w:numPr>
          <w:ilvl w:val="0"/>
          <w:numId w:val="12"/>
        </w:numPr>
        <w:tabs>
          <w:tab w:val="left" w:pos="709" w:leader="none"/>
        </w:tabs>
        <w:bidi w:val="0"/>
        <w:spacing w:before="0" w:after="0"/>
        <w:ind w:left="709" w:hanging="283"/>
        <w:jc w:val="left"/>
        <w:rPr/>
      </w:pPr>
      <w:r>
        <w:rPr>
          <w:rStyle w:val="Accentuationforte"/>
        </w:rPr>
        <w:t>Intelligence artificielle</w:t>
      </w:r>
      <w:r>
        <w:rPr/>
        <w:t xml:space="preserve"> : Chatbots, automatisation des emails, analyse prédictive pour personnaliser les messages. </w:t>
      </w:r>
    </w:p>
    <w:p>
      <w:pPr>
        <w:pStyle w:val="Corpsdetexte"/>
        <w:numPr>
          <w:ilvl w:val="0"/>
          <w:numId w:val="12"/>
        </w:numPr>
        <w:tabs>
          <w:tab w:val="left" w:pos="709" w:leader="none"/>
        </w:tabs>
        <w:bidi w:val="0"/>
        <w:spacing w:before="0" w:after="0"/>
        <w:ind w:left="709" w:hanging="283"/>
        <w:jc w:val="left"/>
        <w:rPr/>
      </w:pPr>
      <w:r>
        <w:rPr>
          <w:rStyle w:val="Accentuationforte"/>
        </w:rPr>
        <w:t>Contenu généré par les utilisateurs</w:t>
      </w:r>
      <w:r>
        <w:rPr/>
        <w:t xml:space="preserve"> : Avis clients, témoignages, publications sur les réseaux sociaux pour renforcer la crédibilité. </w:t>
      </w:r>
    </w:p>
    <w:p>
      <w:pPr>
        <w:pStyle w:val="Corpsdetexte"/>
        <w:numPr>
          <w:ilvl w:val="0"/>
          <w:numId w:val="12"/>
        </w:numPr>
        <w:tabs>
          <w:tab w:val="left" w:pos="709" w:leader="none"/>
        </w:tabs>
        <w:bidi w:val="0"/>
        <w:spacing w:before="0" w:after="0"/>
        <w:ind w:left="709" w:hanging="283"/>
        <w:jc w:val="left"/>
        <w:rPr/>
      </w:pPr>
      <w:r>
        <w:rPr>
          <w:rStyle w:val="Accentuationforte"/>
        </w:rPr>
        <w:t>Localisation et adaptation culturelle</w:t>
      </w:r>
      <w:r>
        <w:rPr/>
        <w:t xml:space="preserve"> : Messages et visuels adaptés aux valeurs et attentes des consommateurs ivoiriens. </w:t>
      </w:r>
    </w:p>
    <w:p>
      <w:pPr>
        <w:pStyle w:val="Corpsdetexte"/>
        <w:numPr>
          <w:ilvl w:val="0"/>
          <w:numId w:val="12"/>
        </w:numPr>
        <w:tabs>
          <w:tab w:val="left" w:pos="709" w:leader="none"/>
        </w:tabs>
        <w:bidi w:val="0"/>
        <w:spacing w:before="0" w:after="0"/>
        <w:ind w:left="709" w:hanging="283"/>
        <w:jc w:val="left"/>
        <w:rPr/>
      </w:pPr>
      <w:r>
        <w:rPr>
          <w:rStyle w:val="Accentuationforte"/>
        </w:rPr>
        <w:t>Réalité augmentée et virtuelle</w:t>
      </w:r>
      <w:r>
        <w:rPr/>
        <w:t xml:space="preserve"> : Technologies immersives pour enrichir l’expérience utilisateur. </w:t>
      </w:r>
    </w:p>
    <w:p>
      <w:pPr>
        <w:pStyle w:val="Corpsdetexte"/>
        <w:numPr>
          <w:ilvl w:val="0"/>
          <w:numId w:val="12"/>
        </w:numPr>
        <w:tabs>
          <w:tab w:val="left" w:pos="709" w:leader="none"/>
        </w:tabs>
        <w:bidi w:val="0"/>
        <w:ind w:left="709" w:hanging="283"/>
        <w:jc w:val="left"/>
        <w:rPr/>
      </w:pPr>
      <w:r>
        <w:rPr>
          <w:rStyle w:val="Accentuationforte"/>
        </w:rPr>
        <w:t>Protection des données</w:t>
      </w:r>
      <w:r>
        <w:rPr/>
        <w:t xml:space="preserve"> : Respect des législations locales et internationales sur la confidentialité. </w:t>
      </w:r>
    </w:p>
    <w:p>
      <w:pPr>
        <w:pStyle w:val="Lignehorizontale"/>
        <w:bidi w:val="0"/>
        <w:jc w:val="left"/>
        <w:rPr/>
      </w:pPr>
      <w:r>
        <w:rPr/>
      </w:r>
    </w:p>
    <w:p>
      <w:pPr>
        <w:pStyle w:val="Titre2"/>
        <w:bidi w:val="0"/>
        <w:jc w:val="left"/>
        <w:rPr/>
      </w:pPr>
      <w:r>
        <w:rPr/>
        <w:t>Risques et solutions</w:t>
      </w:r>
    </w:p>
    <w:tbl>
      <w:tblPr>
        <w:tblW w:w="9638" w:type="dxa"/>
        <w:jc w:val="left"/>
        <w:tblInd w:w="0" w:type="dxa"/>
        <w:tblLayout w:type="fixed"/>
        <w:tblCellMar>
          <w:top w:w="28" w:type="dxa"/>
          <w:left w:w="28" w:type="dxa"/>
          <w:bottom w:w="28" w:type="dxa"/>
          <w:right w:w="28" w:type="dxa"/>
        </w:tblCellMar>
      </w:tblPr>
      <w:tblGrid>
        <w:gridCol w:w="3552"/>
        <w:gridCol w:w="6085"/>
      </w:tblGrid>
      <w:tr>
        <w:trPr>
          <w:tblHeader w:val="true"/>
        </w:trPr>
        <w:tc>
          <w:tcPr>
            <w:tcW w:w="3552" w:type="dxa"/>
            <w:tcBorders/>
            <w:vAlign w:val="center"/>
          </w:tcPr>
          <w:p>
            <w:pPr>
              <w:pStyle w:val="Titredetableau"/>
              <w:widowControl w:val="false"/>
              <w:suppressLineNumbers/>
              <w:bidi w:val="0"/>
              <w:jc w:val="center"/>
              <w:rPr/>
            </w:pPr>
            <w:r>
              <w:rPr/>
              <w:t>Risque</w:t>
            </w:r>
          </w:p>
        </w:tc>
        <w:tc>
          <w:tcPr>
            <w:tcW w:w="6085" w:type="dxa"/>
            <w:tcBorders/>
            <w:vAlign w:val="center"/>
          </w:tcPr>
          <w:p>
            <w:pPr>
              <w:pStyle w:val="Titredetableau"/>
              <w:widowControl w:val="false"/>
              <w:suppressLineNumbers/>
              <w:bidi w:val="0"/>
              <w:jc w:val="center"/>
              <w:rPr/>
            </w:pPr>
            <w:r>
              <w:rPr/>
              <w:t>Solution proposée</w:t>
            </w:r>
          </w:p>
        </w:tc>
      </w:tr>
      <w:tr>
        <w:trPr/>
        <w:tc>
          <w:tcPr>
            <w:tcW w:w="3552" w:type="dxa"/>
            <w:tcBorders/>
            <w:vAlign w:val="center"/>
          </w:tcPr>
          <w:p>
            <w:pPr>
              <w:pStyle w:val="Contenudetableau"/>
              <w:widowControl w:val="false"/>
              <w:suppressLineNumbers/>
              <w:bidi w:val="0"/>
              <w:jc w:val="left"/>
              <w:rPr/>
            </w:pPr>
            <w:r>
              <w:rPr/>
              <w:t>Résistance des pharmacies à adopter la plateforme</w:t>
            </w:r>
          </w:p>
        </w:tc>
        <w:tc>
          <w:tcPr>
            <w:tcW w:w="6085" w:type="dxa"/>
            <w:tcBorders/>
            <w:vAlign w:val="center"/>
          </w:tcPr>
          <w:p>
            <w:pPr>
              <w:pStyle w:val="Contenudetableau"/>
              <w:widowControl w:val="false"/>
              <w:suppressLineNumbers/>
              <w:bidi w:val="0"/>
              <w:jc w:val="left"/>
              <w:rPr/>
            </w:pPr>
            <w:r>
              <w:rPr/>
              <w:t>Démarchage direct, démonstrations gratuites, offre de lancement attractive.</w:t>
            </w:r>
          </w:p>
        </w:tc>
      </w:tr>
      <w:tr>
        <w:trPr/>
        <w:tc>
          <w:tcPr>
            <w:tcW w:w="3552" w:type="dxa"/>
            <w:tcBorders/>
            <w:vAlign w:val="center"/>
          </w:tcPr>
          <w:p>
            <w:pPr>
              <w:pStyle w:val="Contenudetableau"/>
              <w:widowControl w:val="false"/>
              <w:suppressLineNumbers/>
              <w:bidi w:val="0"/>
              <w:jc w:val="left"/>
              <w:rPr/>
            </w:pPr>
            <w:r>
              <w:rPr/>
              <w:t>Concurrence d’applications existantes</w:t>
            </w:r>
          </w:p>
        </w:tc>
        <w:tc>
          <w:tcPr>
            <w:tcW w:w="6085" w:type="dxa"/>
            <w:tcBorders/>
            <w:vAlign w:val="center"/>
          </w:tcPr>
          <w:p>
            <w:pPr>
              <w:pStyle w:val="Contenudetableau"/>
              <w:widowControl w:val="false"/>
              <w:suppressLineNumbers/>
              <w:bidi w:val="0"/>
              <w:jc w:val="left"/>
              <w:rPr/>
            </w:pPr>
            <w:r>
              <w:rPr/>
              <w:t>Se différencier par la couverture nationale, les fonctionnalités locales (paiement mobile money).</w:t>
            </w:r>
          </w:p>
        </w:tc>
      </w:tr>
      <w:tr>
        <w:trPr/>
        <w:tc>
          <w:tcPr>
            <w:tcW w:w="3552" w:type="dxa"/>
            <w:tcBorders/>
            <w:vAlign w:val="center"/>
          </w:tcPr>
          <w:p>
            <w:pPr>
              <w:pStyle w:val="Contenudetableau"/>
              <w:widowControl w:val="false"/>
              <w:suppressLineNumbers/>
              <w:bidi w:val="0"/>
              <w:jc w:val="left"/>
              <w:rPr/>
            </w:pPr>
            <w:r>
              <w:rPr/>
              <w:t>Problèmes de connectivité</w:t>
            </w:r>
          </w:p>
        </w:tc>
        <w:tc>
          <w:tcPr>
            <w:tcW w:w="6085" w:type="dxa"/>
            <w:tcBorders/>
            <w:vAlign w:val="center"/>
          </w:tcPr>
          <w:p>
            <w:pPr>
              <w:pStyle w:val="Contenudetableau"/>
              <w:widowControl w:val="false"/>
              <w:suppressLineNumbers/>
              <w:bidi w:val="0"/>
              <w:jc w:val="left"/>
              <w:rPr/>
            </w:pPr>
            <w:r>
              <w:rPr/>
              <w:t>Mode hors ligne, optimisation pour réseaux 2G/3G.</w:t>
            </w:r>
          </w:p>
        </w:tc>
      </w:tr>
      <w:tr>
        <w:trPr/>
        <w:tc>
          <w:tcPr>
            <w:tcW w:w="3552" w:type="dxa"/>
            <w:tcBorders/>
            <w:vAlign w:val="center"/>
          </w:tcPr>
          <w:p>
            <w:pPr>
              <w:pStyle w:val="Contenudetableau"/>
              <w:widowControl w:val="false"/>
              <w:suppressLineNumbers/>
              <w:bidi w:val="0"/>
              <w:jc w:val="left"/>
              <w:rPr/>
            </w:pPr>
            <w:r>
              <w:rPr/>
              <w:t>Réglementation</w:t>
            </w:r>
          </w:p>
        </w:tc>
        <w:tc>
          <w:tcPr>
            <w:tcW w:w="6085" w:type="dxa"/>
            <w:tcBorders/>
            <w:vAlign w:val="center"/>
          </w:tcPr>
          <w:p>
            <w:pPr>
              <w:pStyle w:val="Contenudetableau"/>
              <w:widowControl w:val="false"/>
              <w:suppressLineNumbers/>
              <w:bidi w:val="0"/>
              <w:jc w:val="left"/>
              <w:rPr/>
            </w:pPr>
            <w:r>
              <w:rPr/>
              <w:t>Collaboration avec le Conseil National de l’Ordre des Pharmaciens pour garantir la légalité.</w:t>
            </w:r>
          </w:p>
        </w:tc>
      </w:tr>
    </w:tbl>
    <w:p>
      <w:pPr>
        <w:pStyle w:val="Lignehorizontale"/>
        <w:suppressLineNumbers/>
        <w:pBdr>
          <w:bottom w:val="double" w:sz="2" w:space="0" w:color="808080"/>
        </w:pBdr>
        <w:bidi w:val="0"/>
        <w:spacing w:before="0" w:after="283"/>
        <w:jc w:val="left"/>
        <w:rPr/>
      </w:pPr>
      <w:r>
        <w:rPr/>
      </w:r>
    </w:p>
    <w:p>
      <w:pPr>
        <w:pStyle w:val="Titre2"/>
        <w:bidi w:val="0"/>
        <w:jc w:val="left"/>
        <w:rPr/>
      </w:pPr>
      <w:r>
        <w:rPr/>
        <w:t>Budget prévisionnel</w:t>
      </w:r>
    </w:p>
    <w:p>
      <w:pPr>
        <w:pStyle w:val="Corpsdetexte"/>
        <w:numPr>
          <w:ilvl w:val="0"/>
          <w:numId w:val="13"/>
        </w:numPr>
        <w:tabs>
          <w:tab w:val="left" w:pos="709" w:leader="none"/>
        </w:tabs>
        <w:bidi w:val="0"/>
        <w:spacing w:before="0" w:after="0"/>
        <w:ind w:left="709" w:hanging="283"/>
        <w:jc w:val="left"/>
        <w:rPr/>
      </w:pPr>
      <w:r>
        <w:rPr>
          <w:rStyle w:val="Accentuationforte"/>
        </w:rPr>
        <w:t>Coûts de développement</w:t>
      </w:r>
      <w:r>
        <w:rPr/>
        <w:t xml:space="preserve"> : Estimés entre 100 000 € et 200 000 € selon l’équipe (interne ou sous-traitance). </w:t>
      </w:r>
    </w:p>
    <w:p>
      <w:pPr>
        <w:pStyle w:val="Corpsdetexte"/>
        <w:numPr>
          <w:ilvl w:val="0"/>
          <w:numId w:val="13"/>
        </w:numPr>
        <w:tabs>
          <w:tab w:val="left" w:pos="709" w:leader="none"/>
        </w:tabs>
        <w:bidi w:val="0"/>
        <w:spacing w:before="0" w:after="0"/>
        <w:ind w:left="709" w:hanging="283"/>
        <w:jc w:val="left"/>
        <w:rPr/>
      </w:pPr>
      <w:r>
        <w:rPr>
          <w:rStyle w:val="Accentuationforte"/>
        </w:rPr>
        <w:t>Frais d’hébergement et maintenance</w:t>
      </w:r>
      <w:r>
        <w:rPr/>
        <w:t xml:space="preserve"> : Environ 10 000 €/an. </w:t>
      </w:r>
    </w:p>
    <w:p>
      <w:pPr>
        <w:pStyle w:val="Corpsdetexte"/>
        <w:numPr>
          <w:ilvl w:val="0"/>
          <w:numId w:val="13"/>
        </w:numPr>
        <w:tabs>
          <w:tab w:val="left" w:pos="709" w:leader="none"/>
        </w:tabs>
        <w:bidi w:val="0"/>
        <w:spacing w:before="0" w:after="0"/>
        <w:ind w:left="709" w:hanging="283"/>
        <w:jc w:val="left"/>
        <w:rPr/>
      </w:pPr>
      <w:r>
        <w:rPr>
          <w:rStyle w:val="Accentuationforte"/>
        </w:rPr>
        <w:t>Budget marketing</w:t>
      </w:r>
      <w:r>
        <w:rPr/>
        <w:t xml:space="preserve"> : 20 000 € à 50 000 € pour campagnes publicitaires, événements, partenariats. </w:t>
      </w:r>
    </w:p>
    <w:p>
      <w:pPr>
        <w:pStyle w:val="Corpsdetexte"/>
        <w:numPr>
          <w:ilvl w:val="0"/>
          <w:numId w:val="13"/>
        </w:numPr>
        <w:tabs>
          <w:tab w:val="left" w:pos="709" w:leader="none"/>
        </w:tabs>
        <w:bidi w:val="0"/>
        <w:ind w:left="709" w:hanging="283"/>
        <w:jc w:val="left"/>
        <w:rPr/>
      </w:pPr>
      <w:r>
        <w:rPr>
          <w:rStyle w:val="Accentuationforte"/>
        </w:rPr>
        <w:t>Coûts légaux</w:t>
      </w:r>
      <w:r>
        <w:rPr/>
        <w:t xml:space="preserve"> : 5 000 € à 10 000 € pour enregistrement, conformité réglementaire. </w:t>
      </w:r>
    </w:p>
    <w:p>
      <w:pPr>
        <w:pStyle w:val="Lignehorizontale"/>
        <w:bidi w:val="0"/>
        <w:jc w:val="left"/>
        <w:rPr/>
      </w:pPr>
      <w:r>
        <w:rPr/>
      </w:r>
    </w:p>
    <w:p>
      <w:pPr>
        <w:pStyle w:val="Titre2"/>
        <w:bidi w:val="0"/>
        <w:jc w:val="left"/>
        <w:rPr/>
      </w:pPr>
      <w:r>
        <w:rPr/>
        <w:t>Équipes et rôles</w:t>
      </w:r>
    </w:p>
    <w:p>
      <w:pPr>
        <w:pStyle w:val="Corpsdetexte"/>
        <w:numPr>
          <w:ilvl w:val="0"/>
          <w:numId w:val="14"/>
        </w:numPr>
        <w:tabs>
          <w:tab w:val="left" w:pos="709" w:leader="none"/>
        </w:tabs>
        <w:bidi w:val="0"/>
        <w:spacing w:before="0" w:after="0"/>
        <w:ind w:left="709" w:hanging="283"/>
        <w:jc w:val="left"/>
        <w:rPr/>
      </w:pPr>
      <w:r>
        <w:rPr>
          <w:rStyle w:val="Accentuationforte"/>
        </w:rPr>
        <w:t>Chef de projet</w:t>
      </w:r>
      <w:r>
        <w:rPr/>
        <w:t xml:space="preserve"> : Coordination globale. </w:t>
      </w:r>
    </w:p>
    <w:p>
      <w:pPr>
        <w:pStyle w:val="Corpsdetexte"/>
        <w:numPr>
          <w:ilvl w:val="0"/>
          <w:numId w:val="14"/>
        </w:numPr>
        <w:tabs>
          <w:tab w:val="left" w:pos="709" w:leader="none"/>
        </w:tabs>
        <w:bidi w:val="0"/>
        <w:spacing w:before="0" w:after="0"/>
        <w:ind w:left="709" w:hanging="283"/>
        <w:jc w:val="left"/>
        <w:rPr/>
      </w:pPr>
      <w:r>
        <w:rPr>
          <w:rStyle w:val="Accentuationforte"/>
        </w:rPr>
        <w:t>Développeurs full-stack</w:t>
      </w:r>
      <w:r>
        <w:rPr/>
        <w:t xml:space="preserve"> : Frontend (React Native/Flutter) et backend (Node.js, Python, PHP). </w:t>
      </w:r>
    </w:p>
    <w:p>
      <w:pPr>
        <w:pStyle w:val="Corpsdetexte"/>
        <w:numPr>
          <w:ilvl w:val="0"/>
          <w:numId w:val="14"/>
        </w:numPr>
        <w:tabs>
          <w:tab w:val="left" w:pos="709" w:leader="none"/>
        </w:tabs>
        <w:bidi w:val="0"/>
        <w:spacing w:before="0" w:after="0"/>
        <w:ind w:left="709" w:hanging="283"/>
        <w:jc w:val="left"/>
        <w:rPr/>
      </w:pPr>
      <w:r>
        <w:rPr>
          <w:rStyle w:val="Accentuationforte"/>
        </w:rPr>
        <w:t>Designer UI/UX</w:t>
      </w:r>
      <w:r>
        <w:rPr/>
        <w:t xml:space="preserve"> : Interface intuitive et ergonomique. </w:t>
      </w:r>
    </w:p>
    <w:p>
      <w:pPr>
        <w:pStyle w:val="Corpsdetexte"/>
        <w:numPr>
          <w:ilvl w:val="0"/>
          <w:numId w:val="14"/>
        </w:numPr>
        <w:tabs>
          <w:tab w:val="left" w:pos="709" w:leader="none"/>
        </w:tabs>
        <w:bidi w:val="0"/>
        <w:spacing w:before="0" w:after="0"/>
        <w:ind w:left="709" w:hanging="283"/>
        <w:jc w:val="left"/>
        <w:rPr/>
      </w:pPr>
      <w:r>
        <w:rPr>
          <w:rStyle w:val="Accentuationforte"/>
        </w:rPr>
        <w:t>Expert en santé digitale</w:t>
      </w:r>
      <w:r>
        <w:rPr/>
        <w:t xml:space="preserve"> : Validation des fonctionnalités médicales. </w:t>
      </w:r>
    </w:p>
    <w:p>
      <w:pPr>
        <w:pStyle w:val="Corpsdetexte"/>
        <w:numPr>
          <w:ilvl w:val="0"/>
          <w:numId w:val="14"/>
        </w:numPr>
        <w:tabs>
          <w:tab w:val="left" w:pos="709" w:leader="none"/>
        </w:tabs>
        <w:bidi w:val="0"/>
        <w:spacing w:before="0" w:after="0"/>
        <w:ind w:left="709" w:hanging="283"/>
        <w:jc w:val="left"/>
        <w:rPr/>
      </w:pPr>
      <w:r>
        <w:rPr>
          <w:rStyle w:val="Accentuationforte"/>
        </w:rPr>
        <w:t>Community Manager</w:t>
      </w:r>
      <w:r>
        <w:rPr/>
        <w:t xml:space="preserve"> : Acquisition d’utilisateurs, gestion des réseaux sociaux. </w:t>
      </w:r>
    </w:p>
    <w:p>
      <w:pPr>
        <w:pStyle w:val="Corpsdetexte"/>
        <w:numPr>
          <w:ilvl w:val="0"/>
          <w:numId w:val="14"/>
        </w:numPr>
        <w:tabs>
          <w:tab w:val="left" w:pos="709" w:leader="none"/>
        </w:tabs>
        <w:bidi w:val="0"/>
        <w:ind w:left="709" w:hanging="283"/>
        <w:jc w:val="left"/>
        <w:rPr/>
      </w:pPr>
      <w:r>
        <w:rPr>
          <w:rStyle w:val="Accentuationforte"/>
        </w:rPr>
        <w:t>Juriste</w:t>
      </w:r>
      <w:r>
        <w:rPr/>
        <w:t xml:space="preserve"> : Aspects réglementaires et conformité. </w:t>
      </w:r>
    </w:p>
    <w:p>
      <w:pPr>
        <w:pStyle w:val="Lignehorizontale"/>
        <w:bidi w:val="0"/>
        <w:jc w:val="left"/>
        <w:rPr/>
      </w:pPr>
      <w:r>
        <w:rPr/>
      </w:r>
    </w:p>
    <w:p>
      <w:pPr>
        <w:pStyle w:val="Titre2"/>
        <w:bidi w:val="0"/>
        <w:jc w:val="left"/>
        <w:rPr/>
      </w:pPr>
      <w:r>
        <w:rPr/>
        <w:t>Indicateurs de succès (KPI)</w:t>
      </w:r>
    </w:p>
    <w:p>
      <w:pPr>
        <w:pStyle w:val="Corpsdetexte"/>
        <w:numPr>
          <w:ilvl w:val="0"/>
          <w:numId w:val="15"/>
        </w:numPr>
        <w:tabs>
          <w:tab w:val="left" w:pos="709" w:leader="none"/>
        </w:tabs>
        <w:bidi w:val="0"/>
        <w:spacing w:before="0" w:after="0"/>
        <w:ind w:left="709" w:hanging="283"/>
        <w:jc w:val="left"/>
        <w:rPr/>
      </w:pPr>
      <w:r>
        <w:rPr/>
        <w:t xml:space="preserve">Nombre de </w:t>
      </w:r>
      <w:r>
        <w:rPr>
          <w:rStyle w:val="Accentuationforte"/>
        </w:rPr>
        <w:t>pharmacies partenaires</w:t>
      </w:r>
      <w:r>
        <w:rPr/>
        <w:t xml:space="preserve"> : Objectif 50% des pharmacies d’Abidjan en 1 an. </w:t>
      </w:r>
    </w:p>
    <w:p>
      <w:pPr>
        <w:pStyle w:val="Corpsdetexte"/>
        <w:numPr>
          <w:ilvl w:val="0"/>
          <w:numId w:val="15"/>
        </w:numPr>
        <w:tabs>
          <w:tab w:val="left" w:pos="709" w:leader="none"/>
        </w:tabs>
        <w:bidi w:val="0"/>
        <w:spacing w:before="0" w:after="0"/>
        <w:ind w:left="709" w:hanging="283"/>
        <w:jc w:val="left"/>
        <w:rPr/>
      </w:pPr>
      <w:r>
        <w:rPr/>
        <w:t>Nombre d’</w:t>
      </w:r>
      <w:r>
        <w:rPr>
          <w:rStyle w:val="Accentuationforte"/>
        </w:rPr>
        <w:t>utilisateurs actifs mensuels</w:t>
      </w:r>
      <w:r>
        <w:rPr/>
        <w:t xml:space="preserve">. </w:t>
      </w:r>
    </w:p>
    <w:p>
      <w:pPr>
        <w:pStyle w:val="Corpsdetexte"/>
        <w:numPr>
          <w:ilvl w:val="0"/>
          <w:numId w:val="15"/>
        </w:numPr>
        <w:tabs>
          <w:tab w:val="left" w:pos="709" w:leader="none"/>
        </w:tabs>
        <w:bidi w:val="0"/>
        <w:spacing w:before="0" w:after="0"/>
        <w:ind w:left="709" w:hanging="283"/>
        <w:jc w:val="left"/>
        <w:rPr/>
      </w:pPr>
      <w:r>
        <w:rPr>
          <w:rStyle w:val="Accentuationforte"/>
        </w:rPr>
        <w:t>Taux de conversion</w:t>
      </w:r>
      <w:r>
        <w:rPr/>
        <w:t xml:space="preserve"> (recherches → achats/reservations). </w:t>
      </w:r>
    </w:p>
    <w:p>
      <w:pPr>
        <w:pStyle w:val="Corpsdetexte"/>
        <w:numPr>
          <w:ilvl w:val="0"/>
          <w:numId w:val="15"/>
        </w:numPr>
        <w:tabs>
          <w:tab w:val="left" w:pos="709" w:leader="none"/>
        </w:tabs>
        <w:bidi w:val="0"/>
        <w:spacing w:before="0" w:after="0"/>
        <w:ind w:left="709" w:hanging="283"/>
        <w:jc w:val="left"/>
        <w:rPr/>
      </w:pPr>
      <w:r>
        <w:rPr>
          <w:rStyle w:val="Accentuationforte"/>
        </w:rPr>
        <w:t>Réduction du temps moyen</w:t>
      </w:r>
      <w:r>
        <w:rPr/>
        <w:t xml:space="preserve"> pour trouver un médicament (enquête avant/après). </w:t>
      </w:r>
    </w:p>
    <w:p>
      <w:pPr>
        <w:pStyle w:val="Corpsdetexte"/>
        <w:numPr>
          <w:ilvl w:val="0"/>
          <w:numId w:val="15"/>
        </w:numPr>
        <w:tabs>
          <w:tab w:val="left" w:pos="709" w:leader="none"/>
        </w:tabs>
        <w:bidi w:val="0"/>
        <w:ind w:left="709" w:hanging="283"/>
        <w:jc w:val="left"/>
        <w:rPr/>
      </w:pPr>
      <w:r>
        <w:rPr>
          <w:rStyle w:val="Accentuationforte"/>
        </w:rPr>
        <w:t>Note moyenne</w:t>
      </w:r>
      <w:r>
        <w:rPr/>
        <w:t xml:space="preserve"> sur les stores (App Store/Google Play). </w:t>
      </w:r>
    </w:p>
    <w:p>
      <w:pPr>
        <w:pStyle w:val="Lignehorizontale"/>
        <w:bidi w:val="0"/>
        <w:jc w:val="left"/>
        <w:rPr/>
      </w:pPr>
      <w:r>
        <w:rPr/>
      </w:r>
    </w:p>
    <w:p>
      <w:pPr>
        <w:pStyle w:val="Titre2"/>
        <w:bidi w:val="0"/>
        <w:jc w:val="left"/>
        <w:rPr/>
      </w:pPr>
      <w:r>
        <w:rPr/>
        <w:t>Annexes</w:t>
      </w:r>
    </w:p>
    <w:p>
      <w:pPr>
        <w:pStyle w:val="Corpsdetexte"/>
        <w:numPr>
          <w:ilvl w:val="0"/>
          <w:numId w:val="16"/>
        </w:numPr>
        <w:tabs>
          <w:tab w:val="left" w:pos="709" w:leader="none"/>
        </w:tabs>
        <w:bidi w:val="0"/>
        <w:spacing w:before="0" w:after="0"/>
        <w:ind w:left="709" w:hanging="283"/>
        <w:jc w:val="left"/>
        <w:rPr/>
      </w:pPr>
      <w:r>
        <w:rPr>
          <w:rStyle w:val="Accentuationforte"/>
        </w:rPr>
        <w:t>Maquettes</w:t>
      </w:r>
      <w:r>
        <w:rPr/>
        <w:t xml:space="preserve"> : Wireframes ou designs Figma. </w:t>
      </w:r>
    </w:p>
    <w:p>
      <w:pPr>
        <w:pStyle w:val="Corpsdetexte"/>
        <w:numPr>
          <w:ilvl w:val="0"/>
          <w:numId w:val="16"/>
        </w:numPr>
        <w:tabs>
          <w:tab w:val="left" w:pos="709" w:leader="none"/>
        </w:tabs>
        <w:bidi w:val="0"/>
        <w:spacing w:before="0" w:after="0"/>
        <w:ind w:left="709" w:hanging="283"/>
        <w:jc w:val="left"/>
        <w:rPr/>
      </w:pPr>
      <w:r>
        <w:rPr>
          <w:rStyle w:val="Accentuationforte"/>
        </w:rPr>
        <w:t>Exemples de workflows</w:t>
      </w:r>
      <w:r>
        <w:rPr/>
        <w:t xml:space="preserve"> : "Comment un utilisateur réserve un médicament ?". </w:t>
      </w:r>
    </w:p>
    <w:p>
      <w:pPr>
        <w:pStyle w:val="Corpsdetexte"/>
        <w:numPr>
          <w:ilvl w:val="0"/>
          <w:numId w:val="16"/>
        </w:numPr>
        <w:tabs>
          <w:tab w:val="left" w:pos="709" w:leader="none"/>
        </w:tabs>
        <w:bidi w:val="0"/>
        <w:spacing w:before="0" w:after="0"/>
        <w:ind w:left="709" w:hanging="283"/>
        <w:jc w:val="left"/>
        <w:rPr/>
      </w:pPr>
      <w:r>
        <w:rPr>
          <w:rStyle w:val="Accentuationforte"/>
        </w:rPr>
        <w:t>Liste des pharmacies contactées</w:t>
      </w:r>
      <w:r>
        <w:rPr/>
        <w:t xml:space="preserve"> pour partenariat. </w:t>
      </w:r>
    </w:p>
    <w:p>
      <w:pPr>
        <w:pStyle w:val="Corpsdetexte"/>
        <w:numPr>
          <w:ilvl w:val="0"/>
          <w:numId w:val="16"/>
        </w:numPr>
        <w:tabs>
          <w:tab w:val="left" w:pos="709" w:leader="none"/>
        </w:tabs>
        <w:bidi w:val="0"/>
        <w:ind w:left="709" w:hanging="283"/>
        <w:jc w:val="left"/>
        <w:rPr/>
      </w:pPr>
      <w:r>
        <w:rPr>
          <w:rStyle w:val="Accentuationforte"/>
        </w:rPr>
        <w:t>Benchmark</w:t>
      </w:r>
      <w:r>
        <w:rPr/>
        <w:t xml:space="preserve"> des applications similaires (Pharmacy CI, PharmAppCI, Meditect, IvoireHealth). </w:t>
      </w:r>
    </w:p>
    <w:p>
      <w:pPr>
        <w:pStyle w:val="Lignehorizontale"/>
        <w:bidi w:val="0"/>
        <w:jc w:val="left"/>
        <w:rPr/>
      </w:pPr>
      <w:r>
        <w:rPr/>
      </w:r>
    </w:p>
    <w:p>
      <w:pPr>
        <w:pStyle w:val="Corpsdetexte"/>
        <w:bidi w:val="0"/>
        <w:spacing w:lineRule="auto" w:line="276" w:before="0" w:after="140"/>
        <w:jc w:val="left"/>
        <w:rPr/>
      </w:pPr>
      <w:r>
        <w:rPr/>
        <w:t>Ce cahier des charges complet et détaillé répond aux besoins spécifiques de la Côte d’Ivoire en matière de recherche de médicaments et de pharmacies, en intégrant les contraintes locales, les habitudes des utilisateurs, et les technologies adaptées. Il constitue une base solide pour le développement d’une application mobile et web innovante, capable d’améliorer significativement l’accès aux soins et la prise en charge médicale dans le pays.</w:t>
      </w:r>
    </w:p>
    <w:p>
      <w:pPr>
        <w:pStyle w:val="Normal"/>
        <w:bidi w:val="0"/>
        <w:jc w:val="left"/>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swiss"/>
    <w:pitch w:val="variable"/>
  </w:font>
  <w:font w:name="OpenSymbol">
    <w:altName w:val="Arial Unicode MS"/>
    <w:charset w:val="01"/>
    <w:family w:val="roman"/>
    <w:pitch w:val="variable"/>
  </w:font>
  <w:font w:name="Liberation Sans">
    <w:altName w:val="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w:zoom w:percent="224"/>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fr-FR"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Lohit Devanagari"/>
      <w:color w:val="auto"/>
      <w:kern w:val="2"/>
      <w:sz w:val="24"/>
      <w:szCs w:val="24"/>
      <w:lang w:val="fr-FR" w:eastAsia="zh-CN" w:bidi="hi-IN"/>
    </w:rPr>
  </w:style>
  <w:style w:type="paragraph" w:styleId="Titre1">
    <w:name w:val="Heading 1"/>
    <w:basedOn w:val="Titre"/>
    <w:next w:val="Corpsdetexte"/>
    <w:qFormat/>
    <w:pPr>
      <w:spacing w:before="240" w:after="120"/>
      <w:outlineLvl w:val="0"/>
    </w:pPr>
    <w:rPr>
      <w:rFonts w:ascii="Liberation Serif" w:hAnsi="Liberation Serif" w:eastAsia="Noto Serif CJK SC" w:cs="Lohit Devanagari"/>
      <w:b/>
      <w:bCs/>
      <w:sz w:val="48"/>
      <w:szCs w:val="48"/>
    </w:rPr>
  </w:style>
  <w:style w:type="paragraph" w:styleId="Titre2">
    <w:name w:val="Heading 2"/>
    <w:basedOn w:val="Titre"/>
    <w:next w:val="Corpsdetexte"/>
    <w:qFormat/>
    <w:pPr>
      <w:spacing w:before="200" w:after="120"/>
      <w:outlineLvl w:val="1"/>
    </w:pPr>
    <w:rPr>
      <w:rFonts w:ascii="Liberation Serif" w:hAnsi="Liberation Serif" w:eastAsia="Noto Serif CJK SC" w:cs="Lohit Devanagari"/>
      <w:b/>
      <w:bCs/>
      <w:sz w:val="36"/>
      <w:szCs w:val="36"/>
    </w:rPr>
  </w:style>
  <w:style w:type="paragraph" w:styleId="Titre3">
    <w:name w:val="Heading 3"/>
    <w:basedOn w:val="Titre"/>
    <w:next w:val="Corpsdetexte"/>
    <w:qFormat/>
    <w:pPr>
      <w:spacing w:before="140" w:after="120"/>
      <w:outlineLvl w:val="2"/>
    </w:pPr>
    <w:rPr>
      <w:rFonts w:ascii="Liberation Serif" w:hAnsi="Liberation Serif" w:eastAsia="Noto Serif CJK SC" w:cs="Lohit Devanagari"/>
      <w:b/>
      <w:bCs/>
      <w:sz w:val="28"/>
      <w:szCs w:val="28"/>
    </w:rPr>
  </w:style>
  <w:style w:type="character" w:styleId="Puces">
    <w:name w:val="Puces"/>
    <w:qFormat/>
    <w:rPr>
      <w:rFonts w:ascii="OpenSymbol" w:hAnsi="OpenSymbol" w:eastAsia="OpenSymbol" w:cs="OpenSymbol"/>
    </w:rPr>
  </w:style>
  <w:style w:type="character" w:styleId="Accentuationforte">
    <w:name w:val="Accentuation forte"/>
    <w:qFormat/>
    <w:rPr>
      <w:b/>
      <w:bCs/>
    </w:rPr>
  </w:style>
  <w:style w:type="paragraph" w:styleId="Titre">
    <w:name w:val="Titre"/>
    <w:basedOn w:val="Normal"/>
    <w:next w:val="Corpsdetexte"/>
    <w:qFormat/>
    <w:pPr>
      <w:keepNext w:val="true"/>
      <w:spacing w:before="240" w:after="120"/>
    </w:pPr>
    <w:rPr>
      <w:rFonts w:ascii="Liberation Sans" w:hAnsi="Liberation Sans" w:eastAsia="Noto Sans CJK SC" w:cs="Lohit Devanagari"/>
      <w:sz w:val="28"/>
      <w:szCs w:val="28"/>
    </w:rPr>
  </w:style>
  <w:style w:type="paragraph" w:styleId="Corpsdetexte">
    <w:name w:val="Body Text"/>
    <w:basedOn w:val="Normal"/>
    <w:pPr>
      <w:spacing w:lineRule="auto" w:line="276" w:before="0" w:after="140"/>
    </w:pPr>
    <w:rPr/>
  </w:style>
  <w:style w:type="paragraph" w:styleId="Liste">
    <w:name w:val="List"/>
    <w:basedOn w:val="Corpsdetexte"/>
    <w:pPr/>
    <w:rPr>
      <w:rFonts w:cs="Lohit Devanagari"/>
    </w:rPr>
  </w:style>
  <w:style w:type="paragraph" w:styleId="Lgende">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Citations">
    <w:name w:val="Citations"/>
    <w:basedOn w:val="Normal"/>
    <w:qFormat/>
    <w:pPr>
      <w:spacing w:before="0" w:after="283"/>
      <w:ind w:left="567" w:right="567" w:hanging="0"/>
    </w:pPr>
    <w:rPr/>
  </w:style>
  <w:style w:type="paragraph" w:styleId="Lignehorizontale">
    <w:name w:val="Ligne horizontale"/>
    <w:basedOn w:val="Normal"/>
    <w:next w:val="Corpsdetexte"/>
    <w:qFormat/>
    <w:pPr>
      <w:suppressLineNumbers/>
      <w:pBdr>
        <w:bottom w:val="double" w:sz="2" w:space="0" w:color="808080"/>
      </w:pBdr>
      <w:spacing w:before="0" w:after="283"/>
    </w:pPr>
    <w:rPr>
      <w:sz w:val="12"/>
      <w:szCs w:val="12"/>
    </w:rPr>
  </w:style>
  <w:style w:type="paragraph" w:styleId="Contenudetableau">
    <w:name w:val="Contenu de tableau"/>
    <w:basedOn w:val="Normal"/>
    <w:qFormat/>
    <w:pPr>
      <w:widowControl w:val="false"/>
      <w:suppressLineNumbers/>
    </w:pPr>
    <w:rPr/>
  </w:style>
  <w:style w:type="paragraph" w:styleId="Titredetableau">
    <w:name w:val="Titre de tableau"/>
    <w:basedOn w:val="Contenudetableau"/>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ages>6</Pages>
  <Words>1770</Words>
  <Characters>10800</Characters>
  <CharactersWithSpaces>12411</CharactersWithSpaces>
  <Paragraphs>159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2026-03-29T19:40:10Z</dcterms:created>
  <dc:creator/>
  <dc:description/>
  <dc:language>fr-FR</dc:language>
  <cp:lastModifiedBy/>
  <dcterms:modified xsi:type="dcterms:W3CDTF">2026-03-31T10:29:07Z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