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6F0" w:rsidRDefault="00827E75">
      <w:pPr>
        <w:spacing w:after="0" w:line="259" w:lineRule="auto"/>
        <w:ind w:left="0" w:firstLine="0"/>
        <w:rPr>
          <w:rFonts w:ascii="Cambria" w:eastAsia="Cambria" w:hAnsi="Cambria" w:cs="Cambria"/>
          <w:color w:val="17365D"/>
          <w:sz w:val="52"/>
          <w:lang w:val="en-US"/>
        </w:rPr>
      </w:pPr>
      <w:r w:rsidRPr="00C602A6">
        <w:rPr>
          <w:rFonts w:ascii="Cambria" w:eastAsia="Cambria" w:hAnsi="Cambria" w:cs="Cambria"/>
          <w:color w:val="17365D"/>
          <w:sz w:val="52"/>
          <w:lang w:val="en-US"/>
        </w:rPr>
        <w:t xml:space="preserve">Dogezer </w:t>
      </w:r>
      <w:r w:rsidR="00D56C37" w:rsidRPr="001673C6">
        <w:rPr>
          <w:rFonts w:ascii="Cambria" w:eastAsia="Cambria" w:hAnsi="Cambria" w:cs="Cambria"/>
          <w:color w:val="17365D"/>
          <w:sz w:val="52"/>
          <w:lang w:val="en-US"/>
        </w:rPr>
        <w:t xml:space="preserve">Risk </w:t>
      </w:r>
      <w:r w:rsidR="001673C6" w:rsidRPr="001673C6">
        <w:rPr>
          <w:rFonts w:ascii="Cambria" w:eastAsia="Cambria" w:hAnsi="Cambria" w:cs="Cambria"/>
          <w:color w:val="17365D"/>
          <w:sz w:val="52"/>
          <w:lang w:val="en-US"/>
        </w:rPr>
        <w:t>W</w:t>
      </w:r>
      <w:r w:rsidR="00D56C37" w:rsidRPr="001673C6">
        <w:rPr>
          <w:rFonts w:ascii="Cambria" w:eastAsia="Cambria" w:hAnsi="Cambria" w:cs="Cambria"/>
          <w:color w:val="17365D"/>
          <w:sz w:val="52"/>
          <w:lang w:val="en-US"/>
        </w:rPr>
        <w:t xml:space="preserve">arning </w:t>
      </w:r>
    </w:p>
    <w:p w:rsidR="00827E75" w:rsidRPr="001673C6" w:rsidRDefault="00827E75" w:rsidP="00827E75">
      <w:pPr>
        <w:spacing w:after="210"/>
        <w:ind w:left="-5" w:right="1"/>
        <w:rPr>
          <w:lang w:val="en-US"/>
        </w:rPr>
      </w:pPr>
      <w:bookmarkStart w:id="0" w:name="_Hlk502765326"/>
      <w:bookmarkStart w:id="1" w:name="_GoBack"/>
      <w:r w:rsidRPr="00B74D2B">
        <w:rPr>
          <w:lang w:val="en-US"/>
        </w:rPr>
        <w:t xml:space="preserve">Last updated </w:t>
      </w:r>
      <w:r>
        <w:rPr>
          <w:lang w:val="en-US"/>
        </w:rPr>
        <w:t>03</w:t>
      </w:r>
      <w:r w:rsidRPr="00B74D2B">
        <w:rPr>
          <w:lang w:val="en-US"/>
        </w:rPr>
        <w:t>.0</w:t>
      </w:r>
      <w:r>
        <w:rPr>
          <w:lang w:val="en-US"/>
        </w:rPr>
        <w:t>1</w:t>
      </w:r>
      <w:r w:rsidRPr="00B74D2B">
        <w:rPr>
          <w:lang w:val="en-US"/>
        </w:rPr>
        <w:t>.201</w:t>
      </w:r>
      <w:r>
        <w:rPr>
          <w:lang w:val="en-US"/>
        </w:rPr>
        <w:t>8</w:t>
      </w:r>
      <w:r w:rsidRPr="00B74D2B">
        <w:rPr>
          <w:lang w:val="en-US"/>
        </w:rPr>
        <w:t xml:space="preserve"> </w:t>
      </w:r>
    </w:p>
    <w:bookmarkEnd w:id="0"/>
    <w:bookmarkEnd w:id="1"/>
    <w:p w:rsidR="00D316F0" w:rsidRPr="001673C6" w:rsidRDefault="00D56C37">
      <w:pPr>
        <w:spacing w:after="329" w:line="259" w:lineRule="auto"/>
        <w:ind w:left="-29" w:right="-43" w:firstLine="0"/>
        <w:rPr>
          <w:lang w:val="en-US"/>
        </w:rPr>
      </w:pPr>
      <w:r w:rsidRPr="001673C6">
        <w:rPr>
          <w:rFonts w:ascii="Calibri" w:eastAsia="Calibri" w:hAnsi="Calibri" w:cs="Calibri"/>
          <w:noProof/>
          <w:sz w:val="22"/>
          <w:lang w:val="en-US"/>
        </w:rPr>
        <mc:AlternateContent>
          <mc:Choice Requires="wpg">
            <w:drawing>
              <wp:inline distT="0" distB="0" distL="0" distR="0">
                <wp:extent cx="5978018" cy="12192"/>
                <wp:effectExtent l="0" t="0" r="0" b="0"/>
                <wp:docPr id="2681" name="Group 2681"/>
                <wp:cNvGraphicFramePr/>
                <a:graphic xmlns:a="http://schemas.openxmlformats.org/drawingml/2006/main">
                  <a:graphicData uri="http://schemas.microsoft.com/office/word/2010/wordprocessingGroup">
                    <wpg:wgp>
                      <wpg:cNvGrpSpPr/>
                      <wpg:grpSpPr>
                        <a:xfrm>
                          <a:off x="0" y="0"/>
                          <a:ext cx="5978018" cy="12192"/>
                          <a:chOff x="0" y="0"/>
                          <a:chExt cx="5978018" cy="12192"/>
                        </a:xfrm>
                      </wpg:grpSpPr>
                      <wps:wsp>
                        <wps:cNvPr id="3129" name="Shape 3129"/>
                        <wps:cNvSpPr/>
                        <wps:spPr>
                          <a:xfrm>
                            <a:off x="0" y="0"/>
                            <a:ext cx="5978018" cy="12192"/>
                          </a:xfrm>
                          <a:custGeom>
                            <a:avLst/>
                            <a:gdLst/>
                            <a:ahLst/>
                            <a:cxnLst/>
                            <a:rect l="0" t="0" r="0" b="0"/>
                            <a:pathLst>
                              <a:path w="5978018" h="12192">
                                <a:moveTo>
                                  <a:pt x="0" y="0"/>
                                </a:moveTo>
                                <a:lnTo>
                                  <a:pt x="5978018" y="0"/>
                                </a:lnTo>
                                <a:lnTo>
                                  <a:pt x="597801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681" style="width:470.71pt;height:0.960022pt;mso-position-horizontal-relative:char;mso-position-vertical-relative:line" coordsize="59780,121">
                <v:shape id="Shape 3130" style="position:absolute;width:59780;height:121;left:0;top:0;" coordsize="5978018,12192" path="m0,0l5978018,0l5978018,12192l0,12192l0,0">
                  <v:stroke weight="0pt" endcap="flat" joinstyle="miter" miterlimit="10" on="false" color="#000000" opacity="0"/>
                  <v:fill on="true" color="#4f81bd"/>
                </v:shape>
              </v:group>
            </w:pict>
          </mc:Fallback>
        </mc:AlternateContent>
      </w:r>
    </w:p>
    <w:p w:rsidR="00D316F0" w:rsidRPr="001673C6" w:rsidRDefault="00D56C37">
      <w:pPr>
        <w:spacing w:after="558" w:line="238" w:lineRule="auto"/>
        <w:ind w:left="0" w:firstLine="0"/>
        <w:rPr>
          <w:lang w:val="en-US"/>
        </w:rPr>
      </w:pPr>
      <w:r w:rsidRPr="001673C6">
        <w:rPr>
          <w:b/>
          <w:lang w:val="en-US"/>
        </w:rPr>
        <w:t xml:space="preserve">By purchasing, owning, and using DGZ tokens (hereinafter “Tokens”), the user or purchaser expressly acknowledge and assume the following risks:  </w:t>
      </w:r>
      <w:r w:rsidRPr="001673C6">
        <w:rPr>
          <w:lang w:val="en-US"/>
        </w:rPr>
        <w:t xml:space="preserve"> </w:t>
      </w:r>
    </w:p>
    <w:p w:rsidR="00D316F0" w:rsidRPr="001673C6" w:rsidRDefault="00D56C37" w:rsidP="001673C6">
      <w:pPr>
        <w:pStyle w:val="1"/>
        <w:rPr>
          <w:lang w:val="en-US"/>
        </w:rPr>
      </w:pPr>
      <w:r w:rsidRPr="001673C6">
        <w:rPr>
          <w:lang w:val="en-US"/>
        </w:rPr>
        <w:t xml:space="preserve">1. Complex nature of tokens and cryptocurrencies </w:t>
      </w:r>
    </w:p>
    <w:p w:rsidR="00D316F0" w:rsidRPr="001673C6" w:rsidRDefault="00D56C37" w:rsidP="001673C6">
      <w:pPr>
        <w:ind w:left="-5"/>
        <w:jc w:val="both"/>
        <w:rPr>
          <w:lang w:val="en-US"/>
        </w:rPr>
      </w:pPr>
      <w:r w:rsidRPr="001673C6">
        <w:rPr>
          <w:lang w:val="en-US"/>
        </w:rPr>
        <w:t>The nature of tokens and cryptocurrencies is very complicated. Person</w:t>
      </w:r>
      <w:r w:rsidR="00FA6C15" w:rsidRPr="001673C6">
        <w:rPr>
          <w:lang w:val="en-US"/>
        </w:rPr>
        <w:t>s intending</w:t>
      </w:r>
      <w:r w:rsidRPr="001673C6">
        <w:rPr>
          <w:lang w:val="en-US"/>
        </w:rPr>
        <w:t xml:space="preserve"> to buy Tokens should always be fully aware and understand the specific characteristics and risks related to these Tokens. The purchase of tokens and cryptocurrencies is only suitable for financially sophisticated persons who are capable of evaluating the merits and risks, or other persons who have been professionally advised with regard to token purchase</w:t>
      </w:r>
      <w:r w:rsidR="00FA6C15" w:rsidRPr="001673C6">
        <w:rPr>
          <w:lang w:val="en-US"/>
        </w:rPr>
        <w:t>s</w:t>
      </w:r>
      <w:r w:rsidRPr="001673C6">
        <w:rPr>
          <w:lang w:val="en-US"/>
        </w:rPr>
        <w:t xml:space="preserve">, or person who be able to bear any losses that may arise from </w:t>
      </w:r>
      <w:r w:rsidR="00FA6C15" w:rsidRPr="001673C6">
        <w:rPr>
          <w:lang w:val="en-US"/>
        </w:rPr>
        <w:t xml:space="preserve">purchase </w:t>
      </w:r>
      <w:r w:rsidRPr="001673C6">
        <w:rPr>
          <w:lang w:val="en-US"/>
        </w:rPr>
        <w:t xml:space="preserve">or </w:t>
      </w:r>
      <w:r w:rsidR="00FA6C15" w:rsidRPr="001673C6">
        <w:rPr>
          <w:lang w:val="en-US"/>
        </w:rPr>
        <w:t>use</w:t>
      </w:r>
      <w:r w:rsidRPr="001673C6">
        <w:rPr>
          <w:lang w:val="en-US"/>
        </w:rPr>
        <w:t xml:space="preserve">. There is a high risk of losing all capital. </w:t>
      </w:r>
    </w:p>
    <w:p w:rsidR="00D316F0" w:rsidRPr="001673C6" w:rsidRDefault="00D56C37" w:rsidP="001673C6">
      <w:pPr>
        <w:pStyle w:val="1"/>
        <w:rPr>
          <w:lang w:val="en-US"/>
        </w:rPr>
      </w:pPr>
      <w:r w:rsidRPr="001673C6">
        <w:rPr>
          <w:lang w:val="en-US"/>
        </w:rPr>
        <w:t>2.</w:t>
      </w:r>
      <w:r w:rsidRPr="001673C6">
        <w:rPr>
          <w:rFonts w:ascii="Arial" w:eastAsia="Arial" w:hAnsi="Arial" w:cs="Arial"/>
          <w:lang w:val="en-US"/>
        </w:rPr>
        <w:t xml:space="preserve"> </w:t>
      </w:r>
      <w:r w:rsidRPr="001673C6">
        <w:rPr>
          <w:lang w:val="en-US"/>
        </w:rPr>
        <w:t xml:space="preserve">Risk of Losing Tokens Due to Technological or Human error.  </w:t>
      </w:r>
    </w:p>
    <w:p w:rsidR="00D316F0" w:rsidRPr="001673C6" w:rsidRDefault="00D56C37" w:rsidP="001673C6">
      <w:pPr>
        <w:ind w:left="-5"/>
        <w:jc w:val="both"/>
        <w:rPr>
          <w:lang w:val="en-US"/>
        </w:rPr>
      </w:pPr>
      <w:r w:rsidRPr="001673C6">
        <w:rPr>
          <w:lang w:val="en-US"/>
        </w:rPr>
        <w:t xml:space="preserve">Loss of private key associated with your digital wallet storing Tokens will result in loss of such Tokens. Any errors, wrong address or malfunctions caused by or otherwise related to the digital wallet, you choose to receive and store Tokens, including your own failure to properly maintain or use such digital wallet, may result in the loss of you Tokens.  </w:t>
      </w:r>
    </w:p>
    <w:p w:rsidR="00D316F0" w:rsidRPr="001673C6" w:rsidRDefault="00D56C37" w:rsidP="001673C6">
      <w:pPr>
        <w:pStyle w:val="1"/>
        <w:rPr>
          <w:lang w:val="en-US"/>
        </w:rPr>
      </w:pPr>
      <w:r w:rsidRPr="001673C6">
        <w:rPr>
          <w:lang w:val="en-US"/>
        </w:rPr>
        <w:t xml:space="preserve">3. Risks Associated with the Ethereum  </w:t>
      </w:r>
    </w:p>
    <w:p w:rsidR="00D316F0" w:rsidRPr="001673C6" w:rsidRDefault="00D56C37" w:rsidP="001673C6">
      <w:pPr>
        <w:ind w:left="-5"/>
        <w:jc w:val="both"/>
        <w:rPr>
          <w:lang w:val="en-US"/>
        </w:rPr>
      </w:pPr>
      <w:r w:rsidRPr="001673C6">
        <w:rPr>
          <w:lang w:val="en-US"/>
        </w:rPr>
        <w:t xml:space="preserve">Because Tokens and the Dogezer Platform (hereinafter “Platform”) are based on the Ethereum protocol, any malfunction, breakdown or alteration of the Ethereum protocol may have a material adverse effect on the Platform or Tokens.  </w:t>
      </w:r>
    </w:p>
    <w:p w:rsidR="00D316F0" w:rsidRPr="001673C6" w:rsidRDefault="00D56C37" w:rsidP="001673C6">
      <w:pPr>
        <w:pStyle w:val="1"/>
        <w:rPr>
          <w:lang w:val="en-US"/>
        </w:rPr>
      </w:pPr>
      <w:r w:rsidRPr="001673C6">
        <w:rPr>
          <w:lang w:val="en-US"/>
        </w:rPr>
        <w:t xml:space="preserve">4. Risks of attacks and Security Weaknesses  </w:t>
      </w:r>
    </w:p>
    <w:p w:rsidR="00D316F0" w:rsidRPr="001673C6" w:rsidRDefault="00D56C37" w:rsidP="001673C6">
      <w:pPr>
        <w:ind w:left="-5"/>
        <w:jc w:val="both"/>
        <w:rPr>
          <w:lang w:val="en-US"/>
        </w:rPr>
      </w:pPr>
      <w:r w:rsidRPr="001673C6">
        <w:rPr>
          <w:lang w:val="en-US"/>
        </w:rPr>
        <w:t xml:space="preserve">Hackers or other malicious groups or organizations may attempt to interfere with the Platform or the Tokens in a variety of ways, including, but not limited to, malware attacks, denial of service attacks, consensus-based attacks, Sybil attacks, smurfing and spoofing. Tokens are susceptible to attacks by miners in the course of validating Token transactions on the Ethereum blockchain, including, but not limited, to double-spend attacks, majority mining power attacks, and </w:t>
      </w:r>
      <w:r w:rsidR="001673C6" w:rsidRPr="001673C6">
        <w:rPr>
          <w:lang w:val="en-US"/>
        </w:rPr>
        <w:t>selfish mining</w:t>
      </w:r>
      <w:r w:rsidRPr="001673C6">
        <w:rPr>
          <w:lang w:val="en-US"/>
        </w:rPr>
        <w:t xml:space="preserve"> attacks. There is a risk that a third party or a member of the Dogezer team may intentionally or unintentionally introduce weaknesses into the core infrastructure of the Platform, which could negatively affect the Platform and the Tokens. Moreover, advances in cryptography, or technical advances such as the development of quantum computing, could present risks to the Tokens and the Platform.  Any successful attacks present a risk to the Platform and the Tokens, including, but not limited to, accurate execution and recording of transactions involving Tokens.   </w:t>
      </w:r>
    </w:p>
    <w:p w:rsidR="00D316F0" w:rsidRPr="001673C6" w:rsidRDefault="00D56C37" w:rsidP="001673C6">
      <w:pPr>
        <w:pStyle w:val="1"/>
        <w:rPr>
          <w:lang w:val="en-US"/>
        </w:rPr>
      </w:pPr>
      <w:r w:rsidRPr="001673C6">
        <w:rPr>
          <w:lang w:val="en-US"/>
        </w:rPr>
        <w:lastRenderedPageBreak/>
        <w:t xml:space="preserve">5. Risks of illiquidity or volatility </w:t>
      </w:r>
    </w:p>
    <w:p w:rsidR="00D316F0" w:rsidRPr="001673C6" w:rsidRDefault="00D56C37" w:rsidP="001673C6">
      <w:pPr>
        <w:ind w:left="-5"/>
        <w:jc w:val="both"/>
        <w:rPr>
          <w:lang w:val="en-US"/>
        </w:rPr>
      </w:pPr>
      <w:r w:rsidRPr="001673C6">
        <w:rPr>
          <w:lang w:val="en-US"/>
        </w:rPr>
        <w:t>The Tokens are intended to be used within the Platform. Even if secondary trading of Tokens is facilitated by third party exchanges, such exchanges may be subject to little or no regulatory oversight, making them more susceptible to fraud or manipulation. This could therefore create illiquidity risk</w:t>
      </w:r>
      <w:r w:rsidR="00FA6C15" w:rsidRPr="001673C6">
        <w:rPr>
          <w:lang w:val="en-US"/>
        </w:rPr>
        <w:t>s</w:t>
      </w:r>
      <w:r w:rsidRPr="001673C6">
        <w:rPr>
          <w:lang w:val="en-US"/>
        </w:rPr>
        <w:t xml:space="preserve"> with respect to the Tokens you own. The values of Token and/or cryptocurrency can widely fluctuate and may result in significant loss over a short period of time and diminish to zero. </w:t>
      </w:r>
    </w:p>
    <w:p w:rsidR="00D316F0" w:rsidRPr="001673C6" w:rsidRDefault="00D56C37" w:rsidP="001673C6">
      <w:pPr>
        <w:pStyle w:val="1"/>
        <w:rPr>
          <w:lang w:val="en-US"/>
        </w:rPr>
      </w:pPr>
      <w:r w:rsidRPr="001673C6">
        <w:rPr>
          <w:lang w:val="en-US"/>
        </w:rPr>
        <w:t xml:space="preserve">6. Risk of Uninsured Losses  </w:t>
      </w:r>
    </w:p>
    <w:p w:rsidR="00D316F0" w:rsidRPr="001673C6" w:rsidRDefault="00D56C37" w:rsidP="001673C6">
      <w:pPr>
        <w:ind w:left="-5"/>
        <w:jc w:val="both"/>
        <w:rPr>
          <w:lang w:val="en-US"/>
        </w:rPr>
      </w:pPr>
      <w:r w:rsidRPr="001673C6">
        <w:rPr>
          <w:lang w:val="en-US"/>
        </w:rPr>
        <w:t xml:space="preserve">There are no insurance or collateral for Tokens in the event of loss. Tokens are uninsured unless you specifically obtain private insurance to insure them.  </w:t>
      </w:r>
    </w:p>
    <w:p w:rsidR="00D316F0" w:rsidRPr="001673C6" w:rsidRDefault="00D56C37" w:rsidP="001673C6">
      <w:pPr>
        <w:pStyle w:val="1"/>
        <w:rPr>
          <w:lang w:val="en-US"/>
        </w:rPr>
      </w:pPr>
      <w:r w:rsidRPr="001673C6">
        <w:rPr>
          <w:lang w:val="en-US"/>
        </w:rPr>
        <w:t xml:space="preserve">7. Risks Arising from Taxation  </w:t>
      </w:r>
    </w:p>
    <w:p w:rsidR="00D316F0" w:rsidRPr="001673C6" w:rsidRDefault="00D56C37" w:rsidP="001673C6">
      <w:pPr>
        <w:ind w:left="-5"/>
        <w:jc w:val="both"/>
        <w:rPr>
          <w:lang w:val="en-US"/>
        </w:rPr>
      </w:pPr>
      <w:r w:rsidRPr="001673C6">
        <w:rPr>
          <w:lang w:val="en-US"/>
        </w:rPr>
        <w:t xml:space="preserve">The tax characterization of Tokens is uncertain. You must seek your own tax advice in connection with purchasing Tokens, which may result in adverse tax consequences to you. The operations with Tokens may be taxable to the Dogezer, which may adversely affect available financial resources and ability to achieve its business objectives. </w:t>
      </w:r>
    </w:p>
    <w:p w:rsidR="00D316F0" w:rsidRPr="001673C6" w:rsidRDefault="00D56C37" w:rsidP="001673C6">
      <w:pPr>
        <w:pStyle w:val="1"/>
        <w:rPr>
          <w:lang w:val="en-US"/>
        </w:rPr>
      </w:pPr>
      <w:r w:rsidRPr="001673C6">
        <w:rPr>
          <w:lang w:val="en-US"/>
        </w:rPr>
        <w:t xml:space="preserve">8. Risk of Competing  </w:t>
      </w:r>
    </w:p>
    <w:p w:rsidR="00D316F0" w:rsidRPr="001673C6" w:rsidRDefault="00D56C37" w:rsidP="001673C6">
      <w:pPr>
        <w:ind w:left="-5"/>
        <w:jc w:val="both"/>
        <w:rPr>
          <w:lang w:val="en-US"/>
        </w:rPr>
      </w:pPr>
      <w:r w:rsidRPr="001673C6">
        <w:rPr>
          <w:lang w:val="en-US"/>
        </w:rPr>
        <w:t xml:space="preserve">It is possible that alternative platforms or </w:t>
      </w:r>
      <w:r w:rsidR="00FA6C15" w:rsidRPr="001673C6">
        <w:rPr>
          <w:lang w:val="en-US"/>
        </w:rPr>
        <w:t xml:space="preserve">companies </w:t>
      </w:r>
      <w:r w:rsidRPr="001673C6">
        <w:rPr>
          <w:lang w:val="en-US"/>
        </w:rPr>
        <w:t xml:space="preserve">could be established that utilize the same open source code, protocol or ideas underlying the Platform and attempt to facilitate services that are materially similar to the Services. The Dogezer and Platform may compete with these alternatives, which could negatively impact the Platform and Tokens.   </w:t>
      </w:r>
    </w:p>
    <w:p w:rsidR="00D316F0" w:rsidRPr="001673C6" w:rsidRDefault="00D56C37" w:rsidP="001673C6">
      <w:pPr>
        <w:pStyle w:val="1"/>
        <w:rPr>
          <w:lang w:val="en-US"/>
        </w:rPr>
      </w:pPr>
      <w:r w:rsidRPr="001673C6">
        <w:rPr>
          <w:lang w:val="en-US"/>
        </w:rPr>
        <w:t>9. Risk of Insufficient Interest in the Platform or Distributed</w:t>
      </w:r>
      <w:r w:rsidR="001673C6" w:rsidRPr="001673C6">
        <w:rPr>
          <w:lang w:val="en-US"/>
        </w:rPr>
        <w:t xml:space="preserve"> </w:t>
      </w:r>
      <w:r w:rsidRPr="001673C6">
        <w:rPr>
          <w:lang w:val="en-US"/>
        </w:rPr>
        <w:t xml:space="preserve">Applications  </w:t>
      </w:r>
    </w:p>
    <w:p w:rsidR="00D316F0" w:rsidRPr="001673C6" w:rsidRDefault="00D56C37" w:rsidP="001673C6">
      <w:pPr>
        <w:ind w:left="-5"/>
        <w:jc w:val="both"/>
        <w:rPr>
          <w:lang w:val="en-US"/>
        </w:rPr>
      </w:pPr>
      <w:r w:rsidRPr="001673C6">
        <w:rPr>
          <w:lang w:val="en-US"/>
        </w:rPr>
        <w:t xml:space="preserve">It is possible that the Platform will not be used by a large number of individuals, companies and other entities. Such a lack of use or interest could negatively impact the development of the Platform and therefore the potential of the Tokens. </w:t>
      </w:r>
    </w:p>
    <w:p w:rsidR="00D316F0" w:rsidRPr="001673C6" w:rsidRDefault="00D56C37" w:rsidP="001673C6">
      <w:pPr>
        <w:pStyle w:val="1"/>
        <w:rPr>
          <w:lang w:val="en-US"/>
        </w:rPr>
      </w:pPr>
      <w:r w:rsidRPr="001673C6">
        <w:rPr>
          <w:lang w:val="en-US"/>
        </w:rPr>
        <w:t>10. Risks Associated with the Development and Maintenance of the</w:t>
      </w:r>
      <w:r w:rsidR="001673C6" w:rsidRPr="001673C6">
        <w:rPr>
          <w:lang w:val="en-US"/>
        </w:rPr>
        <w:t xml:space="preserve"> </w:t>
      </w:r>
      <w:r w:rsidRPr="001673C6">
        <w:rPr>
          <w:lang w:val="en-US"/>
        </w:rPr>
        <w:t xml:space="preserve">Platform  </w:t>
      </w:r>
    </w:p>
    <w:p w:rsidR="00D316F0" w:rsidRPr="001673C6" w:rsidRDefault="00D56C37" w:rsidP="001673C6">
      <w:pPr>
        <w:ind w:left="-5"/>
        <w:jc w:val="both"/>
        <w:rPr>
          <w:lang w:val="en-US"/>
        </w:rPr>
      </w:pPr>
      <w:r w:rsidRPr="001673C6">
        <w:rPr>
          <w:lang w:val="en-US"/>
        </w:rPr>
        <w:t xml:space="preserve">The Platform may undergo some changes time to time. The changes could be made to the specifications of the Tokens or Platform for any number of technical or legitimate reasons. Platform has no control over how other participants will use the Platform, what products or services will be offered through the Platform by third parties, or how third-party products and </w:t>
      </w:r>
      <w:r w:rsidRPr="001673C6">
        <w:rPr>
          <w:lang w:val="en-US"/>
        </w:rPr>
        <w:lastRenderedPageBreak/>
        <w:t xml:space="preserve">services will utilize Tokens. This could create the risk that the Tokens or Platform, as further developed and maintained, may not meet your expectation.    </w:t>
      </w:r>
    </w:p>
    <w:p w:rsidR="00D316F0" w:rsidRPr="001673C6" w:rsidRDefault="00D56C37" w:rsidP="001673C6">
      <w:pPr>
        <w:pStyle w:val="1"/>
        <w:rPr>
          <w:lang w:val="en-US"/>
        </w:rPr>
      </w:pPr>
      <w:r w:rsidRPr="001673C6">
        <w:rPr>
          <w:lang w:val="en-US"/>
        </w:rPr>
        <w:t xml:space="preserve">11.  Risk of an Unfavorable Fluctuation of cryptocurrencies </w:t>
      </w:r>
    </w:p>
    <w:p w:rsidR="00D316F0" w:rsidRPr="001673C6" w:rsidRDefault="00D56C37" w:rsidP="001673C6">
      <w:pPr>
        <w:ind w:left="-5"/>
        <w:jc w:val="both"/>
        <w:rPr>
          <w:lang w:val="en-US"/>
        </w:rPr>
      </w:pPr>
      <w:r w:rsidRPr="001673C6">
        <w:rPr>
          <w:lang w:val="en-US"/>
        </w:rPr>
        <w:t>If the value of cryptocurrencies fluctuates unfavorably</w:t>
      </w:r>
      <w:r w:rsidR="00FA6C15" w:rsidRPr="001673C6">
        <w:rPr>
          <w:lang w:val="en-US"/>
        </w:rPr>
        <w:t>,</w:t>
      </w:r>
      <w:r w:rsidRPr="001673C6">
        <w:rPr>
          <w:lang w:val="en-US"/>
        </w:rPr>
        <w:t xml:space="preserve"> team may not be able to maintain the Platform in the manner that it intended.  </w:t>
      </w:r>
    </w:p>
    <w:p w:rsidR="00D316F0" w:rsidRPr="001673C6" w:rsidRDefault="00D56C37" w:rsidP="001673C6">
      <w:pPr>
        <w:pStyle w:val="1"/>
        <w:rPr>
          <w:lang w:val="en-US"/>
        </w:rPr>
      </w:pPr>
      <w:r w:rsidRPr="001673C6">
        <w:rPr>
          <w:lang w:val="en-US"/>
        </w:rPr>
        <w:t xml:space="preserve">12. Regulatory Risks </w:t>
      </w:r>
    </w:p>
    <w:p w:rsidR="00D316F0" w:rsidRPr="001673C6" w:rsidRDefault="00D56C37" w:rsidP="001673C6">
      <w:pPr>
        <w:ind w:left="-5"/>
        <w:jc w:val="both"/>
        <w:rPr>
          <w:lang w:val="en-US"/>
        </w:rPr>
      </w:pPr>
      <w:r w:rsidRPr="001673C6">
        <w:rPr>
          <w:lang w:val="en-US"/>
        </w:rPr>
        <w:t xml:space="preserve">The Dogezer, Platform and Tokens are subject to a variety of federal, state and international laws and regulations. The regulatory status of the Tokens and distributed ledger technology is unclear or unsettled in many jurisdictions. These laws and regulations, and the interpretation or application of these laws and regulations, could change. Regulatory actions could negatively impact the Platform and the Tokens in various ways, make it illegal to operate in such jurisdiction, or commercially undesirable to obtain the necessary regulatory approvals to operate in such jurisdiction.  Changes in laws or regulations governing Dogezer and the Platform may adversely affect its business. </w:t>
      </w:r>
    </w:p>
    <w:p w:rsidR="00D316F0" w:rsidRPr="001673C6" w:rsidRDefault="00D56C37" w:rsidP="001673C6">
      <w:pPr>
        <w:pStyle w:val="1"/>
        <w:rPr>
          <w:lang w:val="en-US"/>
        </w:rPr>
      </w:pPr>
      <w:r w:rsidRPr="001673C6">
        <w:rPr>
          <w:lang w:val="en-US"/>
        </w:rPr>
        <w:t xml:space="preserve">13. Technological Risks  </w:t>
      </w:r>
    </w:p>
    <w:p w:rsidR="00D316F0" w:rsidRPr="001673C6" w:rsidRDefault="00D56C37" w:rsidP="001673C6">
      <w:pPr>
        <w:ind w:left="-5"/>
        <w:jc w:val="both"/>
        <w:rPr>
          <w:lang w:val="en-US"/>
        </w:rPr>
      </w:pPr>
      <w:r w:rsidRPr="001673C6">
        <w:rPr>
          <w:lang w:val="en-US"/>
        </w:rPr>
        <w:t xml:space="preserve">Blockchain, distributed ledger and smart contracts are new complicated technology. There are risks of unpredictable behavior due to the complexity and interaction of elements. Sophisticated technical understanding is needed to fully understand the tokens’ characteristics and risks. </w:t>
      </w:r>
    </w:p>
    <w:p w:rsidR="00D316F0" w:rsidRPr="001673C6" w:rsidRDefault="00D56C37" w:rsidP="001673C6">
      <w:pPr>
        <w:pStyle w:val="1"/>
        <w:rPr>
          <w:lang w:val="en-US"/>
        </w:rPr>
      </w:pPr>
      <w:r w:rsidRPr="001673C6">
        <w:rPr>
          <w:lang w:val="en-US"/>
        </w:rPr>
        <w:t xml:space="preserve">14. Forward Looking Statements  </w:t>
      </w:r>
    </w:p>
    <w:p w:rsidR="00D316F0" w:rsidRPr="001673C6" w:rsidRDefault="00D56C37" w:rsidP="001673C6">
      <w:pPr>
        <w:spacing w:after="280"/>
        <w:ind w:left="-5"/>
        <w:jc w:val="both"/>
        <w:rPr>
          <w:lang w:val="en-US"/>
        </w:rPr>
      </w:pPr>
      <w:r w:rsidRPr="001673C6">
        <w:rPr>
          <w:lang w:val="en-US"/>
        </w:rPr>
        <w:t xml:space="preserve">The whitepaper and the documents attached to the website contain forward-looking statements.  These forward-looking statements are based on current expectations, estimates and projections about industry, Dogezer, Tokens and Platform, Dogezer team’s beliefs, and assumptions. Words such as </w:t>
      </w:r>
      <w:r w:rsidRPr="001673C6">
        <w:rPr>
          <w:i/>
          <w:lang w:val="en-US"/>
        </w:rPr>
        <w:t>“anticipates,”</w:t>
      </w:r>
      <w:r w:rsidRPr="001673C6">
        <w:rPr>
          <w:lang w:val="en-US"/>
        </w:rPr>
        <w:t xml:space="preserve"> </w:t>
      </w:r>
      <w:r w:rsidRPr="001673C6">
        <w:rPr>
          <w:i/>
          <w:lang w:val="en-US"/>
        </w:rPr>
        <w:t>“expects,” “intends,” “plans,” “believes,” “seeks,” “estimates,”</w:t>
      </w:r>
      <w:r w:rsidRPr="001673C6">
        <w:rPr>
          <w:lang w:val="en-US"/>
        </w:rPr>
        <w:t xml:space="preserve"> and variations of such words and similar expressions are intended to identify such forward-looking statements.  These statements are not guarantees of future performance and are subject to certain risks, uncertainties and assumptions that are difficult to predict; therefore, actual results may differ materially from those expressed or forecasted in any forward-looking statements. We undertake no obligation to update any forward-looking statements, whether as a result of new information, future events or otherwise, except to the extent that we are required to do so by law. </w:t>
      </w:r>
    </w:p>
    <w:p w:rsidR="00D316F0" w:rsidRPr="001673C6" w:rsidRDefault="00D56C37">
      <w:pPr>
        <w:spacing w:after="0" w:line="259" w:lineRule="auto"/>
        <w:ind w:left="0" w:firstLine="0"/>
        <w:rPr>
          <w:lang w:val="en-US"/>
        </w:rPr>
      </w:pPr>
      <w:r w:rsidRPr="001673C6">
        <w:rPr>
          <w:rFonts w:ascii="Calibri" w:eastAsia="Calibri" w:hAnsi="Calibri" w:cs="Calibri"/>
          <w:lang w:val="en-US"/>
        </w:rPr>
        <w:t xml:space="preserve"> </w:t>
      </w:r>
    </w:p>
    <w:p w:rsidR="00D316F0" w:rsidRPr="001673C6" w:rsidRDefault="00D56C37">
      <w:pPr>
        <w:spacing w:after="0" w:line="259" w:lineRule="auto"/>
        <w:ind w:left="0" w:firstLine="0"/>
        <w:rPr>
          <w:lang w:val="en-US"/>
        </w:rPr>
      </w:pPr>
      <w:r w:rsidRPr="001673C6">
        <w:rPr>
          <w:rFonts w:ascii="Calibri" w:eastAsia="Calibri" w:hAnsi="Calibri" w:cs="Calibri"/>
          <w:sz w:val="22"/>
          <w:lang w:val="en-US"/>
        </w:rPr>
        <w:t xml:space="preserve"> </w:t>
      </w:r>
    </w:p>
    <w:sectPr w:rsidR="00D316F0" w:rsidRPr="001673C6">
      <w:footerReference w:type="even" r:id="rId6"/>
      <w:footerReference w:type="default" r:id="rId7"/>
      <w:footerReference w:type="first" r:id="rId8"/>
      <w:pgSz w:w="11906" w:h="16838"/>
      <w:pgMar w:top="1180" w:right="862" w:bottom="1703"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F18" w:rsidRDefault="00EE4F18">
      <w:pPr>
        <w:spacing w:after="0" w:line="240" w:lineRule="auto"/>
      </w:pPr>
      <w:r>
        <w:separator/>
      </w:r>
    </w:p>
  </w:endnote>
  <w:endnote w:type="continuationSeparator" w:id="0">
    <w:p w:rsidR="00EE4F18" w:rsidRDefault="00EE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6F0" w:rsidRDefault="00D56C37">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316F0" w:rsidRDefault="00D56C3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6F0" w:rsidRDefault="00D56C37">
    <w:pPr>
      <w:spacing w:after="0" w:line="259" w:lineRule="auto"/>
      <w:ind w:left="0" w:right="-16" w:firstLine="0"/>
      <w:jc w:val="right"/>
    </w:pPr>
    <w:r>
      <w:fldChar w:fldCharType="begin"/>
    </w:r>
    <w:r>
      <w:instrText xml:space="preserve"> PAGE   \* MERGEFORMAT </w:instrText>
    </w:r>
    <w:r>
      <w:fldChar w:fldCharType="separate"/>
    </w:r>
    <w:r w:rsidR="00827E75" w:rsidRPr="00827E75">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D316F0" w:rsidRDefault="00D56C3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6F0" w:rsidRDefault="00D56C37">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316F0" w:rsidRDefault="00D56C3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F18" w:rsidRDefault="00EE4F18">
      <w:pPr>
        <w:spacing w:after="0" w:line="240" w:lineRule="auto"/>
      </w:pPr>
      <w:r>
        <w:separator/>
      </w:r>
    </w:p>
  </w:footnote>
  <w:footnote w:type="continuationSeparator" w:id="0">
    <w:p w:rsidR="00EE4F18" w:rsidRDefault="00EE4F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6F0"/>
    <w:rsid w:val="001673C6"/>
    <w:rsid w:val="00827E75"/>
    <w:rsid w:val="00A17768"/>
    <w:rsid w:val="00D102A2"/>
    <w:rsid w:val="00D316F0"/>
    <w:rsid w:val="00D56C37"/>
    <w:rsid w:val="00DE59C6"/>
    <w:rsid w:val="00EE4F18"/>
    <w:rsid w:val="00FA6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97ED"/>
  <w15:docId w15:val="{84CF97AD-388E-4200-AB3A-8CF2314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52" w:line="244"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244" w:line="268" w:lineRule="auto"/>
      <w:ind w:left="370" w:hanging="10"/>
      <w:outlineLvl w:val="0"/>
    </w:pPr>
    <w:rPr>
      <w:rFonts w:ascii="Cambria" w:eastAsia="Cambria" w:hAnsi="Cambria" w:cs="Cambria"/>
      <w:b/>
      <w:color w:val="365F9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mbria" w:eastAsia="Cambria" w:hAnsi="Cambria" w:cs="Cambria"/>
      <w:b/>
      <w:color w:val="365F91"/>
      <w:sz w:val="28"/>
    </w:rPr>
  </w:style>
  <w:style w:type="paragraph" w:styleId="a3">
    <w:name w:val="Balloon Text"/>
    <w:basedOn w:val="a"/>
    <w:link w:val="a4"/>
    <w:uiPriority w:val="99"/>
    <w:semiHidden/>
    <w:unhideWhenUsed/>
    <w:rsid w:val="00FA6C1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A6C1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1074</Words>
  <Characters>6127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dc:creator>
  <cp:keywords/>
  <cp:lastModifiedBy>aikozlov</cp:lastModifiedBy>
  <cp:revision>4</cp:revision>
  <cp:lastPrinted>2018-01-03T14:54:00Z</cp:lastPrinted>
  <dcterms:created xsi:type="dcterms:W3CDTF">2018-01-03T14:40:00Z</dcterms:created>
  <dcterms:modified xsi:type="dcterms:W3CDTF">2018-01-03T14:55:00Z</dcterms:modified>
</cp:coreProperties>
</file>