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76" w:lineRule="auto"/>
        <w:ind w:left="720" w:hanging="36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Предмет вычислительной математики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Эффективное решение крупных естественно-научных задач невозможно без применения ЭВМ.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Типичные математические модели, соответствующие физическим явлениям, формулируются в виде уравнений математической физики. Большинство реальных процессов описывается нелинейными уравнениями и лишь в первом приближении (при малых значениях параметров, малых отклонениях от равновесия и др.) эти уравнения можно заменить линейными. 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После того как задача сформулирована в математической форме, необходимо найти ее решение. Для практических приложений важно не только существование и единственность решения, но и качественное поведение решения + количественные характеристики. Именно на этом этапе необходимо применение ЭВМ и численных методов.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Численный метод</w:t>
      </w:r>
      <w:r w:rsidDel="00000000" w:rsidR="00000000" w:rsidRPr="00000000">
        <w:rPr>
          <w:rtl w:val="0"/>
        </w:rPr>
        <w:t xml:space="preserve"> - интерпретация модели, которая доступна для реализации на ЭВМ.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Например, если мат модель - дифференциальное уравнение, то численный метод - аппроксимирующее его разностное уравнение совместно с алгоритмом, который решает это уравнение.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Результат численного метода</w:t>
      </w:r>
      <w:r w:rsidDel="00000000" w:rsidR="00000000" w:rsidRPr="00000000">
        <w:rPr>
          <w:rtl w:val="0"/>
        </w:rPr>
        <w:t xml:space="preserve"> - число или таблица чисел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численному методу: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Сходимость </w:t>
      </w:r>
      <w:r w:rsidDel="00000000" w:rsidR="00000000" w:rsidRPr="00000000">
        <w:rPr>
          <w:rtl w:val="0"/>
        </w:rPr>
        <w:t xml:space="preserve"> - численный метод сходится, если при увеличении числа уравнений решение дискретной задачи стремится к решению исходной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Качественно правильное поведение дискретной задачи </w:t>
      </w:r>
      <w:r w:rsidDel="00000000" w:rsidR="00000000" w:rsidRPr="00000000">
        <w:rPr>
          <w:rtl w:val="0"/>
        </w:rPr>
        <w:t xml:space="preserve">даже при сравнительно небольшом числе уравнений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Корректно - однозначно разрешимо + устойчиво </w:t>
      </w:r>
      <w:r w:rsidDel="00000000" w:rsidR="00000000" w:rsidRPr="00000000">
        <w:rPr>
          <w:rtl w:val="0"/>
        </w:rPr>
        <w:t xml:space="preserve">(непрерывная зависимость решения от входных данных, равномерная относительно числа уравнений, составляющих дискретную модель)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