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highlight w:val="white"/>
          <w:rtl w:val="0"/>
        </w:rPr>
        <w:t xml:space="preserve">16. МОДИФИКАЦИЯ МЕТОДА ЭЙЛЕРА.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highlight w:val="white"/>
        </w:rPr>
        <w:drawing>
          <wp:inline distB="114300" distT="114300" distL="114300" distR="114300">
            <wp:extent cx="5731200" cy="5207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0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highlight w:val="white"/>
        </w:rPr>
        <w:drawing>
          <wp:inline distB="114300" distT="114300" distL="114300" distR="114300">
            <wp:extent cx="5731200" cy="31750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highlight w:val="white"/>
        </w:rPr>
        <w:drawing>
          <wp:inline distB="114300" distT="114300" distL="114300" distR="114300">
            <wp:extent cx="5731200" cy="85344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53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highlight w:val="white"/>
        </w:rPr>
        <w:drawing>
          <wp:inline distB="114300" distT="114300" distL="114300" distR="114300">
            <wp:extent cx="5731200" cy="87884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78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