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Численные методы решения СЛАУ(метод простой итерации)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Сразу условимся, что для общего вида систем выполняется тождество 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m=n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, где 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- количество уравнений в системе, 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- количество неизвестных. Т.е. не имеет смысла решать недоопределенные (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m&lt;n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) и переопределенные (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m&gt;n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) системы, т.к. они могут быть сведены путем элементарных алгебраических преобразований к нормальным (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m=n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) системам линейных уравнений. Другими словами, если у вас имеется «ненормальная» система, то прежде, чем использовать метод простых итераций, преобразуйте ее к нормальной.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Все мы знаем, что система линейных уравнений может быть записана в матричной форме, где A – матрица коэффициентов, b – вектор свободных членов, x – вектор неизвестных. Возьмем систему:</w:t>
      </w:r>
    </w:p>
    <w:p w:rsidR="00000000" w:rsidDel="00000000" w:rsidP="00000000" w:rsidRDefault="00000000" w:rsidRPr="00000000" w14:paraId="00000004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1419225" cy="10858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Ее матричная форма:</w:t>
      </w:r>
    </w:p>
    <w:p w:rsidR="00000000" w:rsidDel="00000000" w:rsidP="00000000" w:rsidRDefault="00000000" w:rsidRPr="00000000" w14:paraId="00000007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2847975" cy="7334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Смотрим на первый этап итерационных методов – он предполагает преобразование исходной системы, а именно матрицы А и вектора b к итерационной форме, где С и d – итерационные формы исходных данных.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Если мы будем преобразовывать исходную систему к итерационной форме, то она не удовлетворит условию сходимости:</w:t>
      </w:r>
    </w:p>
    <w:p w:rsidR="00000000" w:rsidDel="00000000" w:rsidP="00000000" w:rsidRDefault="00000000" w:rsidRPr="00000000" w14:paraId="0000000B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2162175" cy="1600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Некоторые элементы матрицы C будут больше единицы. А глядя на условие сходимости, становится понятно, что, если хотя бы один будет больше единицы, то условие не выполнится, и решение системы путем простых итераций не будет найдено.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Смотрим нашу начальную систему. Видим, что третий элемент третьей строки по модулю больше других. Оставим его неизменным. Меняем местами первую и вторую строки. Теперь умножаем строку, ставшую первой, на -1 и складываем с новой второй. В итоге получаем:</w:t>
      </w:r>
    </w:p>
    <w:p w:rsidR="00000000" w:rsidDel="00000000" w:rsidP="00000000" w:rsidRDefault="00000000" w:rsidRPr="00000000" w14:paraId="0000000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</w:rPr>
        <w:drawing>
          <wp:inline distB="114300" distT="114300" distL="114300" distR="114300">
            <wp:extent cx="2819400" cy="800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Теперь при подстановке в формулы мы получим итерационную форму верно. К сожалению, это преобразование начальной системы к "благоприятному" виду - чистая аналитика, поэтому записать его в программный код очень сложно, а если даже и попытаться, то в некоторых случаях вероятно возникновение ошибок.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Переходим ко второму этапу: "Проверка условия сходимости" (формулу смотрите выше). Если система не проходит проверку, то приближения не будут сходиться к реальному решению, и ответ получен не будет. В этом случае можно попытаться получить другую "благоприятную" форму. Если условие сходимости выполнено, то стратегия метода простых итераций применима и осуществляется переход к третьему этапу.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В конечном счете, мы получили систему линейных алгебраических уравнений в итерационной форме:</w:t>
      </w:r>
    </w:p>
    <w:p w:rsidR="00000000" w:rsidDel="00000000" w:rsidP="00000000" w:rsidRDefault="00000000" w:rsidRPr="00000000" w14:paraId="0000001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</w:rPr>
        <w:drawing>
          <wp:inline distB="114300" distT="114300" distL="114300" distR="114300">
            <wp:extent cx="2428875" cy="1190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где x</w:t>
      </w:r>
      <w:r w:rsidDel="00000000" w:rsidR="00000000" w:rsidRPr="00000000">
        <w:rPr>
          <w:color w:val="333333"/>
          <w:sz w:val="18"/>
          <w:szCs w:val="1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x</w:t>
      </w:r>
      <w:r w:rsidDel="00000000" w:rsidR="00000000" w:rsidRPr="00000000">
        <w:rPr>
          <w:color w:val="333333"/>
          <w:sz w:val="18"/>
          <w:szCs w:val="1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x</w:t>
      </w:r>
      <w:r w:rsidDel="00000000" w:rsidR="00000000" w:rsidRPr="00000000">
        <w:rPr>
          <w:color w:val="333333"/>
          <w:sz w:val="18"/>
          <w:szCs w:val="1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– приближения, получаемые на текущей итерации за счет приближений полученных на предыдущей итерации - x</w:t>
      </w:r>
      <w:r w:rsidDel="00000000" w:rsidR="00000000" w:rsidRPr="00000000">
        <w:rPr>
          <w:color w:val="333333"/>
          <w:sz w:val="18"/>
          <w:szCs w:val="18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x</w:t>
      </w:r>
      <w:r w:rsidDel="00000000" w:rsidR="00000000" w:rsidRPr="00000000">
        <w:rPr>
          <w:color w:val="333333"/>
          <w:sz w:val="18"/>
          <w:szCs w:val="18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x</w:t>
      </w:r>
      <w:r w:rsidDel="00000000" w:rsidR="00000000" w:rsidRPr="00000000">
        <w:rPr>
          <w:color w:val="333333"/>
          <w:sz w:val="18"/>
          <w:szCs w:val="18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Итерационный процесс в методе простых итераций идет до тех пор, пока вектор приближений не достигнет заданной точности, т.е. пока не выполнится условие выхода:</w:t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Max|x</w:t>
      </w:r>
      <w:r w:rsidDel="00000000" w:rsidR="00000000" w:rsidRPr="00000000">
        <w:rPr>
          <w:color w:val="333333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highlight w:val="white"/>
          <w:rtl w:val="0"/>
        </w:rPr>
        <w:t xml:space="preserve">-x</w:t>
      </w:r>
      <w:r w:rsidDel="00000000" w:rsidR="00000000" w:rsidRPr="00000000">
        <w:rPr>
          <w:color w:val="333333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highlight w:val="white"/>
          <w:rtl w:val="0"/>
        </w:rPr>
        <w:t xml:space="preserve">|&lt;ε, где ε – требуемая точность.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