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4D" w:rsidRDefault="00C9474D" w:rsidP="00C9474D">
      <w:pPr>
        <w:rPr>
          <w:rFonts w:eastAsiaTheme="minorEastAsia"/>
          <w:color w:val="000000" w:themeColor="text1"/>
        </w:rPr>
      </w:pPr>
      <w:r w:rsidRPr="00F41616">
        <w:rPr>
          <w:rFonts w:eastAsiaTheme="minorEastAsia"/>
          <w:b/>
        </w:rPr>
        <w:t>Уравнение Фредгольма</w:t>
      </w:r>
      <w:r w:rsidRPr="00F41616">
        <w:rPr>
          <w:rFonts w:eastAsiaTheme="minorEastAsia"/>
          <w:b/>
        </w:rPr>
        <w:br/>
      </w:r>
      <w:r w:rsidRPr="00F41616">
        <w:rPr>
          <w:rFonts w:eastAsiaTheme="minorEastAsia"/>
          <w:b/>
        </w:rPr>
        <w:br/>
      </w:r>
      <w:r>
        <w:rPr>
          <w:color w:val="000000" w:themeColor="text1"/>
        </w:rPr>
        <w:t xml:space="preserve">Первого рода: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</w:rPr>
                  <m:t>, 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ⅆ</m:t>
            </m:r>
            <m:r>
              <w:rPr>
                <w:rFonts w:ascii="Cambria Math" w:hAnsi="Cambria Math"/>
                <w:color w:val="000000" w:themeColor="text1"/>
              </w:rPr>
              <m:t>s</m:t>
            </m:r>
          </m:e>
        </m:nary>
        <m:r>
          <w:rPr>
            <w:rFonts w:ascii="Cambria Math" w:hAnsi="Cambria Math"/>
            <w:color w:val="000000" w:themeColor="text1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>
        <w:rPr>
          <w:rFonts w:eastAsiaTheme="minorEastAsia"/>
          <w:color w:val="000000" w:themeColor="text1"/>
        </w:rPr>
        <w:t xml:space="preserve"> (1)</w:t>
      </w:r>
      <w:r>
        <w:rPr>
          <w:color w:val="000000" w:themeColor="text1"/>
        </w:rPr>
        <w:br/>
        <w:t>Второго рода:</w:t>
      </w:r>
      <w:r w:rsidRPr="00F4161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-λ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</m:t>
                </m:r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ⅆ</m:t>
            </m:r>
            <m:r>
              <w:rPr>
                <w:rFonts w:ascii="Cambria Math" w:hAnsi="Cambria Math"/>
                <w:color w:val="000000" w:themeColor="text1"/>
              </w:rPr>
              <m:t>s</m:t>
            </m:r>
          </m:e>
        </m:nary>
        <m:r>
          <w:rPr>
            <w:rFonts w:ascii="Cambria Math" w:hAnsi="Cambria Math"/>
            <w:color w:val="000000" w:themeColor="text1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>
        <w:rPr>
          <w:rFonts w:eastAsiaTheme="minorEastAsia"/>
          <w:color w:val="000000" w:themeColor="text1"/>
        </w:rPr>
        <w:t xml:space="preserve"> (2)</w:t>
      </w:r>
      <w:r>
        <w:rPr>
          <w:rFonts w:eastAsiaTheme="minorEastAsia"/>
          <w:color w:val="000000" w:themeColor="text1"/>
        </w:rPr>
        <w:br/>
        <w:t>Идея метода конечных сумм заключается в замене определенного интеграла конечной суммы с помощью одной из квадратных формул</w:t>
      </w:r>
      <w:r>
        <w:rPr>
          <w:rFonts w:eastAsiaTheme="minorEastAsia"/>
          <w:color w:val="000000" w:themeColor="text1"/>
        </w:rPr>
        <w:br/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6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ⅆx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000000" w:themeColor="text1"/>
        </w:rPr>
        <w:t xml:space="preserve">  (3)</w:t>
      </w:r>
      <w:r>
        <w:rPr>
          <w:rFonts w:eastAsiaTheme="minorEastAsia"/>
          <w:color w:val="000000" w:themeColor="text1"/>
        </w:rPr>
        <w:br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>
        <w:rPr>
          <w:rFonts w:eastAsiaTheme="minorEastAsia"/>
          <w:color w:val="000000" w:themeColor="text1"/>
        </w:rPr>
        <w:t xml:space="preserve"> – абсциссы точек отрезка </w:t>
      </w:r>
      <w:r w:rsidRPr="00F41616">
        <w:rPr>
          <w:rFonts w:eastAsiaTheme="minorEastAsia"/>
          <w:color w:val="000000" w:themeColor="text1"/>
        </w:rPr>
        <w:t>[</w:t>
      </w:r>
      <w:r>
        <w:rPr>
          <w:rFonts w:eastAsiaTheme="minorEastAsia"/>
          <w:color w:val="000000" w:themeColor="text1"/>
          <w:lang w:val="en-US"/>
        </w:rPr>
        <w:t>a</w:t>
      </w:r>
      <w:r w:rsidRPr="00F41616">
        <w:rPr>
          <w:rFonts w:eastAsiaTheme="minorEastAsia"/>
          <w:color w:val="000000" w:themeColor="text1"/>
        </w:rPr>
        <w:t xml:space="preserve"> ,</w:t>
      </w:r>
      <w:r>
        <w:rPr>
          <w:rFonts w:eastAsiaTheme="minorEastAsia"/>
          <w:color w:val="000000" w:themeColor="text1"/>
          <w:lang w:val="en-US"/>
        </w:rPr>
        <w:t>b</w:t>
      </w:r>
      <w:r w:rsidRPr="00F41616">
        <w:rPr>
          <w:rFonts w:eastAsiaTheme="minorEastAsia"/>
          <w:color w:val="000000" w:themeColor="text1"/>
        </w:rPr>
        <w:t>]</w:t>
      </w:r>
      <w:r>
        <w:rPr>
          <w:rFonts w:eastAsiaTheme="minorEastAsia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(j=1,2,…,n)</m:t>
        </m:r>
      </m:oMath>
      <w:r w:rsidRPr="0095446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– коэффициенты квадратной формулы, независящие от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954466">
        <w:rPr>
          <w:rFonts w:eastAsiaTheme="minorEastAsia"/>
          <w:color w:val="000000" w:themeColor="text1"/>
        </w:rPr>
        <w:br/>
      </w:r>
      <w:r>
        <w:rPr>
          <w:rFonts w:eastAsiaTheme="minorEastAsia"/>
          <w:color w:val="000000" w:themeColor="text1"/>
        </w:rPr>
        <w:t xml:space="preserve">Заменяя приближенно интеграл в (1)(2) по формуле (3) и полагая что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  <m:r>
              <w:rPr>
                <w:rFonts w:ascii="Cambria Math" w:hAnsi="Cambria Math"/>
                <w:color w:val="000000" w:themeColor="text1"/>
              </w:rPr>
              <m:t xml:space="preserve"> </m:t>
            </m:r>
          </m:sub>
        </m:sSub>
      </m:oMath>
      <w:r>
        <w:rPr>
          <w:rFonts w:eastAsiaTheme="minorEastAsia"/>
          <w:color w:val="000000" w:themeColor="text1"/>
        </w:rPr>
        <w:t>будем иметь соответственно</w:t>
      </w:r>
      <w:r>
        <w:rPr>
          <w:rFonts w:eastAsiaTheme="minorEastAsia"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6F9BADDB" wp14:editId="4269964E">
            <wp:extent cx="2495550" cy="714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00000" w:themeColor="text1"/>
        </w:rPr>
        <w:t xml:space="preserve"> </w:t>
      </w:r>
    </w:p>
    <w:p w:rsidR="00C9474D" w:rsidRDefault="00C9474D" w:rsidP="00C9474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 j</m:t>
            </m:r>
          </m:sub>
        </m:sSub>
        <m:r>
          <w:rPr>
            <w:rFonts w:ascii="Cambria Math" w:hAnsi="Cambria Math"/>
            <w:color w:val="000000" w:themeColor="text1"/>
          </w:rPr>
          <m:t>= K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eastAsiaTheme="minorEastAsia"/>
          <w:color w:val="000000" w:themeColor="text1"/>
        </w:rPr>
        <w:br/>
        <w:t xml:space="preserve">Получаем системы уравнений относительно значений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, решив одним из известных методов (Гаусса , итераций), мы получим таблицу приближенных значений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color w:val="000000" w:themeColor="text1"/>
        </w:rPr>
        <w:br/>
        <w:t xml:space="preserve">Это позволит написать приближенное решение (1) в виде интерполяционного многочлена, а (2) – в виде: </w:t>
      </w:r>
      <w:r>
        <w:rPr>
          <w:noProof/>
          <w:lang w:eastAsia="ru-RU"/>
        </w:rPr>
        <w:drawing>
          <wp:inline distT="0" distB="0" distL="0" distR="0" wp14:anchorId="67B80FF7" wp14:editId="1B496A92">
            <wp:extent cx="297180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00000" w:themeColor="text1"/>
        </w:rPr>
        <w:br/>
        <w:t xml:space="preserve">В зависимости от выбора квадратной формулы (3) будем иметь следующие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и абсцисс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>
        <w:rPr>
          <w:rFonts w:eastAsiaTheme="minorEastAsia"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6A8A35D5" wp14:editId="53402191">
            <wp:extent cx="3971925" cy="1657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 w:themeColor="text1"/>
          </w:rPr>
          <w:br/>
        </m:r>
      </m:oMath>
      <w:r>
        <w:rPr>
          <w:color w:val="000000" w:themeColor="text1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(n)</m:t>
            </m:r>
          </m:sup>
        </m:sSubSup>
      </m:oMath>
      <w:r w:rsidRPr="000C0E1F">
        <w:rPr>
          <w:rFonts w:eastAsiaTheme="minorEastAsia"/>
          <w:color w:val="000000" w:themeColor="text1"/>
        </w:rPr>
        <w:t xml:space="preserve"> – </w:t>
      </w:r>
      <w:r>
        <w:rPr>
          <w:rFonts w:eastAsiaTheme="minorEastAsia"/>
          <w:color w:val="000000" w:themeColor="text1"/>
        </w:rPr>
        <w:t xml:space="preserve">абсциссы Гаусса,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(n)</m:t>
            </m:r>
          </m:sup>
        </m:sSubSup>
      </m:oMath>
      <w:r>
        <w:rPr>
          <w:rFonts w:eastAsiaTheme="minorEastAsia"/>
          <w:color w:val="000000" w:themeColor="text1"/>
        </w:rPr>
        <w:t>- коэффициенты Гаусса для интервала (0,1)</w:t>
      </w:r>
      <w:r>
        <w:rPr>
          <w:rFonts w:eastAsiaTheme="minorEastAsia"/>
          <w:color w:val="000000" w:themeColor="text1"/>
        </w:rPr>
        <w:br/>
      </w:r>
      <w:r w:rsidRPr="009A3597">
        <w:rPr>
          <w:rFonts w:eastAsiaTheme="minorEastAsia"/>
          <w:b/>
          <w:color w:val="000000" w:themeColor="text1"/>
        </w:rPr>
        <w:t>Пример</w:t>
      </w:r>
      <w:r w:rsidRPr="009A3597">
        <w:rPr>
          <w:noProof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5E5494CF" wp14:editId="6DDDC0EF">
            <wp:extent cx="4000500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6F3F74B3" wp14:editId="706CFC2C">
            <wp:extent cx="4057650" cy="581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color w:val="000000" w:themeColor="text1"/>
        </w:rPr>
        <w:br/>
      </w:r>
      <w:r>
        <w:rPr>
          <w:rFonts w:eastAsiaTheme="minorEastAsia"/>
          <w:b/>
          <w:color w:val="000000" w:themeColor="text1"/>
        </w:rPr>
        <w:br/>
      </w:r>
      <w:r>
        <w:rPr>
          <w:rFonts w:eastAsiaTheme="minorEastAsia"/>
          <w:color w:val="000000" w:themeColor="text1"/>
        </w:rPr>
        <w:t xml:space="preserve">295 </w:t>
      </w:r>
      <w:proofErr w:type="spellStart"/>
      <w:r>
        <w:rPr>
          <w:rFonts w:eastAsiaTheme="minorEastAsia"/>
          <w:color w:val="000000" w:themeColor="text1"/>
        </w:rPr>
        <w:t>стр</w:t>
      </w:r>
      <w:proofErr w:type="spellEnd"/>
      <w:r>
        <w:rPr>
          <w:rFonts w:eastAsiaTheme="minorEastAsia"/>
          <w:color w:val="000000" w:themeColor="text1"/>
        </w:rPr>
        <w:t xml:space="preserve"> с Гауссом, но там чет </w:t>
      </w:r>
      <w:proofErr w:type="spellStart"/>
      <w:r>
        <w:rPr>
          <w:rFonts w:eastAsiaTheme="minorEastAsia"/>
          <w:color w:val="000000" w:themeColor="text1"/>
        </w:rPr>
        <w:t>пздц</w:t>
      </w:r>
      <w:proofErr w:type="spellEnd"/>
    </w:p>
    <w:p w:rsidR="009D6346" w:rsidRDefault="009D6346">
      <w:bookmarkStart w:id="0" w:name="_GoBack"/>
      <w:bookmarkEnd w:id="0"/>
    </w:p>
    <w:sectPr w:rsidR="009D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46"/>
    <w:rsid w:val="009D6346"/>
    <w:rsid w:val="00C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5793A-8A58-4BDF-9C5C-33A181EF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Evdokimov</dc:creator>
  <cp:keywords/>
  <dc:description/>
  <cp:lastModifiedBy>Artem Evdokimov</cp:lastModifiedBy>
  <cp:revision>2</cp:revision>
  <dcterms:created xsi:type="dcterms:W3CDTF">2021-01-23T13:01:00Z</dcterms:created>
  <dcterms:modified xsi:type="dcterms:W3CDTF">2021-01-23T13:01:00Z</dcterms:modified>
</cp:coreProperties>
</file>