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6. </w:t>
      </w:r>
      <w:r w:rsidDel="00000000" w:rsidR="00000000" w:rsidRPr="00000000">
        <w:rPr>
          <w:sz w:val="36"/>
          <w:szCs w:val="36"/>
          <w:rtl w:val="0"/>
        </w:rPr>
        <w:t xml:space="preserve">Сплайн интерполяция 1, 2 и 3го порядка (линейная, квадратичная, кубическая)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05488" cy="727477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7274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40" w:line="276" w:lineRule="auto"/>
        <w:jc w:val="center"/>
        <w:rPr>
          <w:rFonts w:ascii="Roboto" w:cs="Roboto" w:eastAsia="Roboto" w:hAnsi="Roboto"/>
          <w:color w:val="64646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46464"/>
          <w:sz w:val="23"/>
          <w:szCs w:val="23"/>
        </w:rPr>
        <w:drawing>
          <wp:inline distB="114300" distT="114300" distL="114300" distR="114300">
            <wp:extent cx="5576888" cy="71379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713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Roboto" w:cs="Roboto" w:eastAsia="Roboto" w:hAnsi="Roboto"/>
          <w:color w:val="64646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46464"/>
          <w:sz w:val="23"/>
          <w:szCs w:val="23"/>
        </w:rPr>
        <w:drawing>
          <wp:inline distB="114300" distT="114300" distL="114300" distR="114300">
            <wp:extent cx="5943600" cy="737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748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86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