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30188" w14:textId="77777777" w:rsidR="00FA1481" w:rsidRDefault="00F11A1C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3DDD7B" wp14:editId="6F668BC0">
            <wp:extent cx="3200400" cy="612775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7D58" w14:textId="5178BDAF" w:rsidR="00CE6EAA" w:rsidRPr="00BF1BF9" w:rsidRDefault="00E76C33" w:rsidP="00FF3503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>
        <w:rPr>
          <w:rFonts w:ascii="Myriad Pro" w:hAnsi="Myriad Pro"/>
          <w:i/>
          <w:sz w:val="22"/>
          <w:szCs w:val="22"/>
        </w:rPr>
        <w:t>Journal Geophysical Research – Earth’s Future</w:t>
      </w:r>
    </w:p>
    <w:p w14:paraId="59CB88FC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70531AAA" w14:textId="56ECE89A" w:rsidR="00FF3503" w:rsidRPr="00203987" w:rsidRDefault="00203987" w:rsidP="00203987">
      <w:pPr>
        <w:spacing w:before="100" w:beforeAutospacing="1" w:after="100" w:afterAutospacing="1"/>
        <w:jc w:val="center"/>
        <w:rPr>
          <w:rFonts w:ascii="Myriad Pro" w:hAnsi="Myriad Pro"/>
          <w:b/>
          <w:bCs/>
          <w:sz w:val="22"/>
          <w:szCs w:val="22"/>
        </w:rPr>
      </w:pPr>
      <w:r w:rsidRPr="00203987">
        <w:rPr>
          <w:rFonts w:ascii="Myriad Pro" w:hAnsi="Myriad Pro"/>
          <w:b/>
          <w:bCs/>
          <w:sz w:val="22"/>
          <w:szCs w:val="22"/>
        </w:rPr>
        <w:t>Skillful s</w:t>
      </w:r>
      <w:r w:rsidR="00A16D3C">
        <w:rPr>
          <w:rFonts w:ascii="Myriad Pro" w:hAnsi="Myriad Pro"/>
          <w:b/>
          <w:bCs/>
          <w:sz w:val="22"/>
          <w:szCs w:val="22"/>
        </w:rPr>
        <w:t>p</w:t>
      </w:r>
      <w:r w:rsidRPr="00203987">
        <w:rPr>
          <w:rFonts w:ascii="Myriad Pro" w:hAnsi="Myriad Pro"/>
          <w:b/>
          <w:bCs/>
          <w:sz w:val="22"/>
          <w:szCs w:val="22"/>
        </w:rPr>
        <w:t>ring forecasts of Septem</w:t>
      </w:r>
      <w:bookmarkStart w:id="0" w:name="_GoBack"/>
      <w:bookmarkEnd w:id="0"/>
      <w:r w:rsidRPr="00203987">
        <w:rPr>
          <w:rFonts w:ascii="Myriad Pro" w:hAnsi="Myriad Pro"/>
          <w:b/>
          <w:bCs/>
          <w:sz w:val="22"/>
          <w:szCs w:val="22"/>
        </w:rPr>
        <w:t>ber Arctic sea-ice extent using passive microwave sea ice observations</w:t>
      </w:r>
    </w:p>
    <w:p w14:paraId="3F32D3E9" w14:textId="7D6D33C5" w:rsidR="00491878" w:rsidRDefault="00491878" w:rsidP="00491878">
      <w:pPr>
        <w:pStyle w:val="Affiliation"/>
        <w:contextualSpacing/>
        <w:jc w:val="center"/>
        <w:rPr>
          <w:rFonts w:ascii="Myriad Pro" w:hAnsi="Myriad Pro"/>
          <w:b/>
          <w:sz w:val="22"/>
          <w:szCs w:val="22"/>
          <w:vertAlign w:val="superscript"/>
        </w:rPr>
      </w:pPr>
      <w:r w:rsidRPr="00491878">
        <w:rPr>
          <w:rFonts w:ascii="Myriad Pro" w:hAnsi="Myriad Pro"/>
          <w:b/>
          <w:sz w:val="22"/>
          <w:szCs w:val="22"/>
        </w:rPr>
        <w:t>A. A. Petty</w:t>
      </w:r>
      <w:r w:rsidRPr="00491878">
        <w:rPr>
          <w:rFonts w:ascii="Myriad Pro" w:hAnsi="Myriad Pro"/>
          <w:b/>
          <w:sz w:val="22"/>
          <w:szCs w:val="22"/>
          <w:vertAlign w:val="superscript"/>
        </w:rPr>
        <w:t>1,2</w:t>
      </w:r>
      <w:r w:rsidRPr="00491878">
        <w:rPr>
          <w:rFonts w:ascii="Myriad Pro" w:hAnsi="Myriad Pro"/>
          <w:b/>
          <w:sz w:val="22"/>
          <w:szCs w:val="22"/>
        </w:rPr>
        <w:t>, D. Schr</w:t>
      </w:r>
      <w:r w:rsidR="009B3839" w:rsidRPr="009B3839">
        <w:rPr>
          <w:rFonts w:ascii="Myriad Pro" w:hAnsi="Myriad Pro"/>
          <w:b/>
          <w:sz w:val="22"/>
          <w:szCs w:val="22"/>
        </w:rPr>
        <w:t>ö</w:t>
      </w:r>
      <w:r w:rsidRPr="00491878">
        <w:rPr>
          <w:rFonts w:ascii="Myriad Pro" w:hAnsi="Myriad Pro"/>
          <w:b/>
          <w:sz w:val="22"/>
          <w:szCs w:val="22"/>
        </w:rPr>
        <w:t>der</w:t>
      </w:r>
      <w:r w:rsidRPr="00491878">
        <w:rPr>
          <w:rFonts w:ascii="Myriad Pro" w:hAnsi="Myriad Pro"/>
          <w:b/>
          <w:sz w:val="22"/>
          <w:szCs w:val="22"/>
          <w:vertAlign w:val="superscript"/>
        </w:rPr>
        <w:t>3</w:t>
      </w:r>
      <w:r w:rsidRPr="00491878">
        <w:rPr>
          <w:rFonts w:ascii="Myriad Pro" w:hAnsi="Myriad Pro"/>
          <w:b/>
          <w:sz w:val="22"/>
          <w:szCs w:val="22"/>
        </w:rPr>
        <w:t>, J. C. Stroeve</w:t>
      </w:r>
      <w:r w:rsidRPr="00491878">
        <w:rPr>
          <w:rFonts w:ascii="Myriad Pro" w:hAnsi="Myriad Pro"/>
          <w:b/>
          <w:sz w:val="22"/>
          <w:szCs w:val="22"/>
          <w:vertAlign w:val="superscript"/>
        </w:rPr>
        <w:t>4,5</w:t>
      </w:r>
      <w:r w:rsidRPr="00491878">
        <w:rPr>
          <w:rFonts w:ascii="Myriad Pro" w:hAnsi="Myriad Pro"/>
          <w:b/>
          <w:sz w:val="22"/>
          <w:szCs w:val="22"/>
        </w:rPr>
        <w:t>, T. Markus</w:t>
      </w:r>
      <w:r w:rsidRPr="00491878">
        <w:rPr>
          <w:rFonts w:ascii="Myriad Pro" w:hAnsi="Myriad Pro"/>
          <w:b/>
          <w:sz w:val="22"/>
          <w:szCs w:val="22"/>
          <w:vertAlign w:val="superscript"/>
        </w:rPr>
        <w:t>2</w:t>
      </w:r>
      <w:r w:rsidRPr="00491878">
        <w:rPr>
          <w:rFonts w:ascii="Myriad Pro" w:hAnsi="Myriad Pro"/>
          <w:b/>
          <w:sz w:val="22"/>
          <w:szCs w:val="22"/>
        </w:rPr>
        <w:t>, J. Miller</w:t>
      </w:r>
      <w:r w:rsidRPr="00491878">
        <w:rPr>
          <w:rFonts w:ascii="Myriad Pro" w:hAnsi="Myriad Pro"/>
          <w:b/>
          <w:sz w:val="22"/>
          <w:szCs w:val="22"/>
          <w:vertAlign w:val="superscript"/>
        </w:rPr>
        <w:t>2</w:t>
      </w:r>
      <w:r w:rsidRPr="00491878">
        <w:rPr>
          <w:rFonts w:ascii="Myriad Pro" w:hAnsi="Myriad Pro"/>
          <w:b/>
          <w:sz w:val="22"/>
          <w:szCs w:val="22"/>
        </w:rPr>
        <w:t xml:space="preserve">, N. </w:t>
      </w:r>
      <w:r w:rsidR="00E76C33">
        <w:rPr>
          <w:rFonts w:ascii="Myriad Pro" w:hAnsi="Myriad Pro"/>
          <w:b/>
          <w:sz w:val="22"/>
          <w:szCs w:val="22"/>
        </w:rPr>
        <w:t xml:space="preserve">T. </w:t>
      </w:r>
      <w:r w:rsidRPr="00491878">
        <w:rPr>
          <w:rFonts w:ascii="Myriad Pro" w:hAnsi="Myriad Pro"/>
          <w:b/>
          <w:sz w:val="22"/>
          <w:szCs w:val="22"/>
        </w:rPr>
        <w:t>Kurtz</w:t>
      </w:r>
      <w:r w:rsidRPr="00491878">
        <w:rPr>
          <w:rFonts w:ascii="Myriad Pro" w:hAnsi="Myriad Pro"/>
          <w:b/>
          <w:sz w:val="22"/>
          <w:szCs w:val="22"/>
          <w:vertAlign w:val="superscript"/>
        </w:rPr>
        <w:t>2</w:t>
      </w:r>
      <w:r w:rsidRPr="00491878">
        <w:rPr>
          <w:rFonts w:ascii="Myriad Pro" w:hAnsi="Myriad Pro"/>
          <w:b/>
          <w:sz w:val="22"/>
          <w:szCs w:val="22"/>
        </w:rPr>
        <w:t>, D. L. Feltham</w:t>
      </w:r>
      <w:r w:rsidRPr="00491878">
        <w:rPr>
          <w:rFonts w:ascii="Myriad Pro" w:hAnsi="Myriad Pro"/>
          <w:b/>
          <w:sz w:val="22"/>
          <w:szCs w:val="22"/>
          <w:vertAlign w:val="superscript"/>
        </w:rPr>
        <w:t>3</w:t>
      </w:r>
      <w:r w:rsidRPr="00491878">
        <w:rPr>
          <w:rFonts w:ascii="Myriad Pro" w:hAnsi="Myriad Pro"/>
          <w:b/>
          <w:sz w:val="22"/>
          <w:szCs w:val="22"/>
        </w:rPr>
        <w:t>, D. Flocco</w:t>
      </w:r>
      <w:r w:rsidRPr="00491878">
        <w:rPr>
          <w:rFonts w:ascii="Myriad Pro" w:hAnsi="Myriad Pro"/>
          <w:b/>
          <w:sz w:val="22"/>
          <w:szCs w:val="22"/>
          <w:vertAlign w:val="superscript"/>
        </w:rPr>
        <w:t>3</w:t>
      </w:r>
    </w:p>
    <w:p w14:paraId="1BF857B4" w14:textId="77777777" w:rsidR="00491878" w:rsidRPr="00491878" w:rsidRDefault="00491878" w:rsidP="00491878">
      <w:pPr>
        <w:pStyle w:val="Affiliation"/>
        <w:contextualSpacing/>
        <w:jc w:val="center"/>
        <w:rPr>
          <w:rFonts w:ascii="Myriad Pro" w:hAnsi="Myriad Pro"/>
          <w:b/>
          <w:sz w:val="22"/>
          <w:szCs w:val="22"/>
        </w:rPr>
      </w:pPr>
    </w:p>
    <w:p w14:paraId="214967DD" w14:textId="77777777" w:rsidR="00170888" w:rsidRPr="00170888" w:rsidRDefault="00170888" w:rsidP="00170888">
      <w:pPr>
        <w:pStyle w:val="Affiliation"/>
        <w:widowControl w:val="0"/>
        <w:contextualSpacing/>
        <w:rPr>
          <w:sz w:val="22"/>
          <w:szCs w:val="22"/>
        </w:rPr>
      </w:pPr>
      <w:r w:rsidRPr="00170888">
        <w:rPr>
          <w:sz w:val="22"/>
          <w:szCs w:val="22"/>
          <w:vertAlign w:val="superscript"/>
        </w:rPr>
        <w:t>1</w:t>
      </w:r>
      <w:r w:rsidRPr="00170888">
        <w:rPr>
          <w:sz w:val="22"/>
          <w:szCs w:val="22"/>
        </w:rPr>
        <w:t>Earth System Science Interdisciplinary Center, University of Maryland, College Park, MD, USA.</w:t>
      </w:r>
    </w:p>
    <w:p w14:paraId="18224A1A" w14:textId="77777777" w:rsidR="00170888" w:rsidRPr="00170888" w:rsidRDefault="00170888" w:rsidP="00170888">
      <w:pPr>
        <w:pStyle w:val="Affiliation"/>
        <w:widowControl w:val="0"/>
        <w:contextualSpacing/>
        <w:rPr>
          <w:sz w:val="22"/>
          <w:szCs w:val="22"/>
        </w:rPr>
      </w:pPr>
      <w:r w:rsidRPr="00170888">
        <w:rPr>
          <w:sz w:val="22"/>
          <w:szCs w:val="22"/>
          <w:vertAlign w:val="superscript"/>
        </w:rPr>
        <w:t>2</w:t>
      </w:r>
      <w:r w:rsidRPr="00170888">
        <w:rPr>
          <w:sz w:val="22"/>
          <w:szCs w:val="22"/>
        </w:rPr>
        <w:t>Cryospheric Sciences Laboratory,</w:t>
      </w:r>
      <w:r w:rsidRPr="00170888">
        <w:rPr>
          <w:sz w:val="22"/>
          <w:szCs w:val="22"/>
          <w:vertAlign w:val="superscript"/>
        </w:rPr>
        <w:t xml:space="preserve"> </w:t>
      </w:r>
      <w:r w:rsidRPr="00170888">
        <w:rPr>
          <w:sz w:val="22"/>
          <w:szCs w:val="22"/>
        </w:rPr>
        <w:t>NASA Goddard Space Flight Center, Greenbelt, MD, USA.</w:t>
      </w:r>
    </w:p>
    <w:p w14:paraId="76817F7D" w14:textId="77777777" w:rsidR="00170888" w:rsidRPr="00170888" w:rsidRDefault="00170888" w:rsidP="00170888">
      <w:pPr>
        <w:pStyle w:val="Affiliation"/>
        <w:contextualSpacing/>
        <w:rPr>
          <w:sz w:val="22"/>
          <w:szCs w:val="22"/>
        </w:rPr>
      </w:pPr>
      <w:r w:rsidRPr="00170888">
        <w:rPr>
          <w:sz w:val="22"/>
          <w:szCs w:val="22"/>
          <w:vertAlign w:val="superscript"/>
        </w:rPr>
        <w:t>3</w:t>
      </w:r>
      <w:r w:rsidRPr="00170888">
        <w:rPr>
          <w:sz w:val="22"/>
          <w:szCs w:val="22"/>
        </w:rPr>
        <w:t>Centre for Polar Observation and Modelling, Department of Meteorology, University of Reading, Reading, UK. </w:t>
      </w:r>
    </w:p>
    <w:p w14:paraId="6104D984" w14:textId="77777777" w:rsidR="00170888" w:rsidRPr="00170888" w:rsidRDefault="00170888" w:rsidP="00170888">
      <w:pPr>
        <w:pStyle w:val="Affiliation"/>
        <w:contextualSpacing/>
        <w:rPr>
          <w:sz w:val="22"/>
          <w:szCs w:val="22"/>
        </w:rPr>
      </w:pPr>
      <w:r w:rsidRPr="00170888">
        <w:rPr>
          <w:sz w:val="22"/>
          <w:szCs w:val="22"/>
          <w:vertAlign w:val="superscript"/>
        </w:rPr>
        <w:t>4</w:t>
      </w:r>
      <w:r w:rsidRPr="00170888">
        <w:rPr>
          <w:sz w:val="22"/>
          <w:szCs w:val="22"/>
        </w:rPr>
        <w:t xml:space="preserve">National Snow and Ice Data Center, Cooperative Institute for Research in Environmental Sciences, University of Colorado, Boulder, Colorado, USA. </w:t>
      </w:r>
    </w:p>
    <w:p w14:paraId="12198794" w14:textId="77777777" w:rsidR="000E1E70" w:rsidRDefault="00170888" w:rsidP="000E1E70">
      <w:pPr>
        <w:pStyle w:val="Affiliation"/>
        <w:contextualSpacing/>
        <w:rPr>
          <w:sz w:val="22"/>
          <w:szCs w:val="22"/>
        </w:rPr>
      </w:pPr>
      <w:r w:rsidRPr="00170888">
        <w:rPr>
          <w:sz w:val="22"/>
          <w:szCs w:val="22"/>
          <w:vertAlign w:val="superscript"/>
        </w:rPr>
        <w:t>5</w:t>
      </w:r>
      <w:r w:rsidRPr="00170888">
        <w:rPr>
          <w:sz w:val="22"/>
          <w:szCs w:val="22"/>
        </w:rPr>
        <w:t>Centre for Polar Observation and Modelling, University College London, London, UK.</w:t>
      </w:r>
    </w:p>
    <w:p w14:paraId="7872FE72" w14:textId="77777777" w:rsidR="00094365" w:rsidRPr="000E1E70" w:rsidRDefault="00A50033" w:rsidP="000E1E70">
      <w:pPr>
        <w:pStyle w:val="Affiliation"/>
        <w:contextualSpacing/>
        <w:rPr>
          <w:sz w:val="22"/>
          <w:szCs w:val="22"/>
        </w:rPr>
      </w:pPr>
      <w:r w:rsidRPr="00CE6EAA" w:rsidDel="00A50033">
        <w:rPr>
          <w:rFonts w:ascii="Myriad Pro" w:hAnsi="Myriad Pro"/>
          <w:sz w:val="22"/>
          <w:szCs w:val="22"/>
        </w:rPr>
        <w:t xml:space="preserve"> </w:t>
      </w:r>
    </w:p>
    <w:p w14:paraId="6E9858C4" w14:textId="77777777" w:rsidR="00111843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 w:rsidR="00E43D2D">
        <w:rPr>
          <w:rFonts w:ascii="Myriad Pro" w:hAnsi="Myriad Pro"/>
          <w:b/>
        </w:rPr>
        <w:t xml:space="preserve"> </w:t>
      </w:r>
    </w:p>
    <w:p w14:paraId="6592530F" w14:textId="77777777" w:rsidR="00E43D2D" w:rsidRPr="00E40896" w:rsidRDefault="00E43D2D" w:rsidP="00111843">
      <w:pPr>
        <w:rPr>
          <w:rFonts w:ascii="Myriad Pro" w:hAnsi="Myriad Pro"/>
        </w:rPr>
      </w:pPr>
    </w:p>
    <w:p w14:paraId="39894A08" w14:textId="7BA60403" w:rsidR="00FA4DDC" w:rsidRPr="007C67B6" w:rsidRDefault="00CA6745" w:rsidP="00FA4DDC">
      <w:pPr>
        <w:ind w:left="720"/>
        <w:rPr>
          <w:sz w:val="22"/>
          <w:szCs w:val="22"/>
        </w:rPr>
      </w:pPr>
      <w:r w:rsidRPr="007C67B6">
        <w:rPr>
          <w:sz w:val="22"/>
          <w:szCs w:val="22"/>
        </w:rPr>
        <w:t xml:space="preserve">Text S1 and </w:t>
      </w:r>
      <w:r w:rsidR="00987620" w:rsidRPr="007C67B6">
        <w:rPr>
          <w:sz w:val="22"/>
          <w:szCs w:val="22"/>
        </w:rPr>
        <w:t>Figures S1 to S3</w:t>
      </w:r>
    </w:p>
    <w:p w14:paraId="62E9D7BE" w14:textId="77777777" w:rsidR="00511B90" w:rsidRDefault="00FF3503" w:rsidP="00511B90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40066EC3" w14:textId="25656DF9" w:rsidR="00511B90" w:rsidRDefault="00203987" w:rsidP="00203987">
      <w:pPr>
        <w:spacing w:before="100" w:beforeAutospacing="1" w:after="100" w:afterAutospacing="1"/>
        <w:rPr>
          <w:szCs w:val="24"/>
        </w:rPr>
      </w:pPr>
      <w:r w:rsidRPr="00CA6745">
        <w:rPr>
          <w:szCs w:val="24"/>
        </w:rPr>
        <w:t xml:space="preserve">This supplemental section provides </w:t>
      </w:r>
      <w:r w:rsidR="00CA6745">
        <w:rPr>
          <w:szCs w:val="24"/>
        </w:rPr>
        <w:t xml:space="preserve">a detailed description of the forecast methodology used in our study (explained more briefly in the primary manuscript) and </w:t>
      </w:r>
      <w:r w:rsidRPr="00CA6745">
        <w:rPr>
          <w:szCs w:val="24"/>
        </w:rPr>
        <w:t xml:space="preserve">more figures to increase the scope of the </w:t>
      </w:r>
      <w:r w:rsidR="00FA4DDC" w:rsidRPr="00CA6745">
        <w:rPr>
          <w:szCs w:val="24"/>
        </w:rPr>
        <w:t>information</w:t>
      </w:r>
      <w:r w:rsidRPr="00CA6745">
        <w:rPr>
          <w:szCs w:val="24"/>
        </w:rPr>
        <w:t xml:space="preserve"> included in the main manuscript.</w:t>
      </w:r>
    </w:p>
    <w:p w14:paraId="7D90EC7E" w14:textId="77777777" w:rsidR="00CA6745" w:rsidRDefault="00CA6745" w:rsidP="00CA6745">
      <w:pPr>
        <w:spacing w:before="100" w:beforeAutospacing="1" w:after="100" w:afterAutospacing="1"/>
        <w:rPr>
          <w:rFonts w:ascii="Myriad Pro" w:hAnsi="Myriad Pro"/>
          <w:b/>
          <w:bCs/>
          <w:szCs w:val="24"/>
        </w:rPr>
      </w:pPr>
      <w:r>
        <w:rPr>
          <w:rFonts w:ascii="Myriad Pro" w:hAnsi="Myriad Pro"/>
          <w:b/>
          <w:bCs/>
          <w:szCs w:val="24"/>
        </w:rPr>
        <w:t>Text S1</w:t>
      </w:r>
    </w:p>
    <w:p w14:paraId="3BCDA8C4" w14:textId="7777777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Here we provide a more detailed explanation of the forecast methodology used in this study. Our approach is based closely on the method presented in</w:t>
      </w:r>
      <w:r w:rsidRPr="00CD1480">
        <w:rPr>
          <w:rFonts w:ascii="Calibri" w:hAnsi="Calibri" w:cs="Calibri"/>
          <w:bCs/>
          <w:sz w:val="22"/>
          <w:szCs w:val="22"/>
        </w:rPr>
        <w:t xml:space="preserve"> </w:t>
      </w:r>
      <w:r w:rsidRPr="00CD1480">
        <w:rPr>
          <w:rFonts w:ascii="Calibri" w:hAnsi="Calibri" w:cs="Calibri"/>
          <w:bCs/>
          <w:i/>
          <w:sz w:val="22"/>
          <w:szCs w:val="22"/>
        </w:rPr>
        <w:t xml:space="preserve">Drobot et al., </w:t>
      </w:r>
      <w:r w:rsidRPr="00CD1480">
        <w:rPr>
          <w:rFonts w:ascii="Calibri" w:hAnsi="Calibri" w:cs="Calibri"/>
          <w:bCs/>
          <w:sz w:val="22"/>
          <w:szCs w:val="22"/>
        </w:rPr>
        <w:t>[2006, 2007]</w:t>
      </w:r>
      <w:r>
        <w:rPr>
          <w:rFonts w:ascii="Calibri" w:hAnsi="Calibri" w:cs="Calibri"/>
          <w:bCs/>
          <w:sz w:val="22"/>
          <w:szCs w:val="22"/>
        </w:rPr>
        <w:t xml:space="preserve"> and implemented more recently</w:t>
      </w:r>
      <w:r w:rsidRPr="00CD1480">
        <w:rPr>
          <w:rFonts w:ascii="Calibri" w:hAnsi="Calibri" w:cs="Calibri"/>
          <w:bCs/>
          <w:sz w:val="22"/>
          <w:szCs w:val="22"/>
        </w:rPr>
        <w:t xml:space="preserve"> by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3768B9">
        <w:rPr>
          <w:rFonts w:ascii="Calibri" w:hAnsi="Calibri" w:cs="Calibri"/>
          <w:bCs/>
          <w:i/>
          <w:sz w:val="22"/>
          <w:szCs w:val="22"/>
        </w:rPr>
        <w:t>Lindsay et al</w:t>
      </w:r>
      <w:r>
        <w:rPr>
          <w:rFonts w:ascii="Calibri" w:hAnsi="Calibri" w:cs="Calibri"/>
          <w:bCs/>
          <w:sz w:val="22"/>
          <w:szCs w:val="22"/>
        </w:rPr>
        <w:t xml:space="preserve">., </w:t>
      </w:r>
      <w:r>
        <w:rPr>
          <w:rFonts w:ascii="Calibri" w:hAnsi="Calibri" w:cs="Calibri"/>
          <w:bCs/>
          <w:sz w:val="20"/>
          <w:szCs w:val="22"/>
        </w:rPr>
        <w:t>[2008] and</w:t>
      </w:r>
      <w:r w:rsidRPr="00CD1480">
        <w:rPr>
          <w:rFonts w:ascii="Calibri" w:hAnsi="Calibri" w:cs="Calibri"/>
          <w:bCs/>
          <w:sz w:val="22"/>
          <w:szCs w:val="22"/>
        </w:rPr>
        <w:t xml:space="preserve"> </w:t>
      </w:r>
      <w:r w:rsidRPr="00CD1480">
        <w:rPr>
          <w:rFonts w:ascii="Calibri" w:hAnsi="Calibri" w:cs="Calibri"/>
          <w:bCs/>
          <w:i/>
          <w:sz w:val="22"/>
          <w:szCs w:val="22"/>
        </w:rPr>
        <w:t xml:space="preserve">Schröder et al., </w:t>
      </w:r>
      <w:r w:rsidRPr="00CD1480">
        <w:rPr>
          <w:rFonts w:ascii="Calibri" w:hAnsi="Calibri" w:cs="Calibri"/>
          <w:bCs/>
          <w:sz w:val="22"/>
          <w:szCs w:val="22"/>
        </w:rPr>
        <w:t>[2014]</w:t>
      </w:r>
      <w:r>
        <w:rPr>
          <w:rFonts w:ascii="Calibri" w:hAnsi="Calibri" w:cs="Calibri"/>
          <w:bCs/>
          <w:sz w:val="22"/>
          <w:szCs w:val="22"/>
        </w:rPr>
        <w:t xml:space="preserve">. </w:t>
      </w:r>
    </w:p>
    <w:p w14:paraId="5BD03EF1" w14:textId="7777777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14:paraId="5F0B984A" w14:textId="51A86021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For making </w:t>
      </w:r>
      <w:r w:rsidR="00853BB3">
        <w:rPr>
          <w:rFonts w:ascii="Calibri" w:hAnsi="Calibri" w:cs="Calibri"/>
          <w:bCs/>
          <w:sz w:val="22"/>
          <w:szCs w:val="22"/>
        </w:rPr>
        <w:t xml:space="preserve">a forecast in </w:t>
      </w:r>
      <w:r w:rsidR="00C11906">
        <w:rPr>
          <w:rFonts w:ascii="Calibri" w:hAnsi="Calibri" w:cs="Calibri"/>
          <w:bCs/>
          <w:sz w:val="22"/>
          <w:szCs w:val="22"/>
        </w:rPr>
        <w:t>a given</w:t>
      </w:r>
      <w:r w:rsidR="00853BB3">
        <w:rPr>
          <w:rFonts w:ascii="Calibri" w:hAnsi="Calibri" w:cs="Calibri"/>
          <w:bCs/>
          <w:sz w:val="22"/>
          <w:szCs w:val="22"/>
        </w:rPr>
        <w:t xml:space="preserve"> </w:t>
      </w:r>
      <w:r w:rsidR="00C914E0">
        <w:rPr>
          <w:rFonts w:ascii="Calibri" w:hAnsi="Calibri" w:cs="Calibri"/>
          <w:bCs/>
          <w:sz w:val="22"/>
          <w:szCs w:val="22"/>
        </w:rPr>
        <w:t>year,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C914E0" w:rsidRPr="007C67B6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>
        <w:rPr>
          <w:rFonts w:ascii="Calibri" w:hAnsi="Calibri" w:cs="Calibri"/>
          <w:bCs/>
          <w:sz w:val="22"/>
          <w:szCs w:val="22"/>
        </w:rPr>
        <w:t>:</w:t>
      </w:r>
    </w:p>
    <w:p w14:paraId="5ADE2892" w14:textId="7777777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</w:t>
      </w:r>
    </w:p>
    <w:p w14:paraId="17C75324" w14:textId="3C41F18B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(1) Calculate the linear trend in</w:t>
      </w:r>
      <w:r w:rsidRPr="00792564">
        <w:rPr>
          <w:rFonts w:ascii="Calibri" w:hAnsi="Calibri" w:cs="Calibri"/>
          <w:sz w:val="22"/>
          <w:szCs w:val="22"/>
        </w:rPr>
        <w:t xml:space="preserve"> the September </w:t>
      </w:r>
      <w:r>
        <w:rPr>
          <w:rFonts w:ascii="Calibri" w:hAnsi="Calibri" w:cs="Calibri"/>
          <w:sz w:val="22"/>
          <w:szCs w:val="22"/>
        </w:rPr>
        <w:t xml:space="preserve">Arctic sea ice extent (SIE) index from 1979 to </w:t>
      </w:r>
      <w:r w:rsidR="00C914E0">
        <w:rPr>
          <w:rFonts w:ascii="Calibri" w:hAnsi="Calibri" w:cs="Calibri"/>
          <w:sz w:val="22"/>
          <w:szCs w:val="22"/>
        </w:rPr>
        <w:t>(</w:t>
      </w:r>
      <w:r w:rsidR="00C914E0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C914E0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 w:rsidR="00C914E0">
        <w:rPr>
          <w:rFonts w:ascii="Calibri" w:hAnsi="Calibri" w:cs="Calibri"/>
          <w:bCs/>
          <w:i/>
          <w:sz w:val="22"/>
          <w:szCs w:val="22"/>
          <w:vertAlign w:val="subscript"/>
        </w:rPr>
        <w:t xml:space="preserve"> </w:t>
      </w:r>
      <w:r w:rsidR="00C914E0">
        <w:rPr>
          <w:rFonts w:ascii="Calibri" w:hAnsi="Calibri" w:cs="Calibri"/>
          <w:bCs/>
          <w:i/>
          <w:sz w:val="22"/>
          <w:szCs w:val="22"/>
        </w:rPr>
        <w:t>-</w:t>
      </w:r>
      <w:r w:rsidR="00C914E0">
        <w:rPr>
          <w:rFonts w:ascii="Calibri" w:hAnsi="Calibri" w:cs="Calibri"/>
          <w:bCs/>
          <w:i/>
          <w:sz w:val="22"/>
          <w:szCs w:val="22"/>
        </w:rPr>
        <w:lastRenderedPageBreak/>
        <w:t>1)</w:t>
      </w:r>
      <w:r w:rsidR="00C914E0">
        <w:rPr>
          <w:rFonts w:ascii="Calibri" w:hAnsi="Calibri" w:cs="Calibri"/>
          <w:bCs/>
          <w:sz w:val="22"/>
          <w:szCs w:val="22"/>
        </w:rPr>
        <w:t xml:space="preserve"> </w:t>
      </w:r>
      <w:r w:rsidRPr="00166B1C">
        <w:rPr>
          <w:rFonts w:ascii="Calibri" w:hAnsi="Calibri" w:cs="Calibri"/>
          <w:sz w:val="22"/>
          <w:szCs w:val="22"/>
        </w:rPr>
        <w:t xml:space="preserve">using a least-squares </w:t>
      </w:r>
      <w:r>
        <w:rPr>
          <w:rFonts w:ascii="Calibri" w:hAnsi="Calibri" w:cs="Calibri"/>
          <w:sz w:val="22"/>
          <w:szCs w:val="22"/>
        </w:rPr>
        <w:t>linear</w:t>
      </w:r>
      <w:r w:rsidRPr="00166B1C">
        <w:rPr>
          <w:rFonts w:ascii="Calibri" w:hAnsi="Calibri" w:cs="Calibri"/>
          <w:sz w:val="22"/>
          <w:szCs w:val="22"/>
        </w:rPr>
        <w:t xml:space="preserve"> regression model</w:t>
      </w:r>
      <w:r w:rsidRPr="00792564">
        <w:rPr>
          <w:rFonts w:ascii="Calibri" w:hAnsi="Calibri" w:cs="Calibri"/>
          <w:sz w:val="22"/>
          <w:szCs w:val="22"/>
        </w:rPr>
        <w:t xml:space="preserve">. Subtract </w:t>
      </w:r>
      <w:r>
        <w:rPr>
          <w:rFonts w:ascii="Calibri" w:hAnsi="Calibri" w:cs="Calibri"/>
          <w:sz w:val="22"/>
          <w:szCs w:val="22"/>
        </w:rPr>
        <w:t xml:space="preserve">the trend line to generate a </w:t>
      </w:r>
      <w:r w:rsidR="00C914E0">
        <w:rPr>
          <w:rFonts w:ascii="Calibri" w:hAnsi="Calibri" w:cs="Calibri"/>
          <w:sz w:val="22"/>
          <w:szCs w:val="22"/>
        </w:rPr>
        <w:t>de</w:t>
      </w:r>
      <w:r w:rsidRPr="00792564">
        <w:rPr>
          <w:rFonts w:ascii="Calibri" w:hAnsi="Calibri" w:cs="Calibri"/>
          <w:sz w:val="22"/>
          <w:szCs w:val="22"/>
        </w:rPr>
        <w:t>trended SIE</w:t>
      </w:r>
      <w:r>
        <w:rPr>
          <w:rFonts w:ascii="Calibri" w:hAnsi="Calibri" w:cs="Calibri"/>
          <w:sz w:val="22"/>
          <w:szCs w:val="22"/>
        </w:rPr>
        <w:t xml:space="preserve"> </w:t>
      </w:r>
      <w:r w:rsidRPr="00792564">
        <w:rPr>
          <w:rFonts w:ascii="Calibri" w:hAnsi="Calibri" w:cs="Calibri"/>
          <w:sz w:val="22"/>
          <w:szCs w:val="22"/>
        </w:rPr>
        <w:t>time series</w:t>
      </w:r>
      <w:r>
        <w:rPr>
          <w:rFonts w:ascii="Calibri" w:hAnsi="Calibri" w:cs="Calibri"/>
          <w:sz w:val="22"/>
          <w:szCs w:val="22"/>
        </w:rPr>
        <w:t xml:space="preserve"> up to and including </w:t>
      </w:r>
      <w:r w:rsidR="0007056B">
        <w:rPr>
          <w:rFonts w:ascii="Calibri" w:hAnsi="Calibri" w:cs="Calibri"/>
          <w:sz w:val="22"/>
          <w:szCs w:val="22"/>
        </w:rPr>
        <w:t xml:space="preserve">year </w:t>
      </w:r>
      <w:r w:rsidR="0007056B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07056B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 w:rsidR="0007056B">
        <w:rPr>
          <w:rFonts w:ascii="Calibri" w:hAnsi="Calibri" w:cs="Calibri"/>
          <w:bCs/>
          <w:i/>
          <w:sz w:val="22"/>
          <w:szCs w:val="22"/>
          <w:vertAlign w:val="subscript"/>
        </w:rPr>
        <w:t xml:space="preserve"> </w:t>
      </w:r>
      <w:r w:rsidR="0007056B">
        <w:rPr>
          <w:rFonts w:ascii="Calibri" w:hAnsi="Calibri" w:cs="Calibri"/>
          <w:bCs/>
          <w:i/>
          <w:sz w:val="22"/>
          <w:szCs w:val="22"/>
        </w:rPr>
        <w:t>-1</w:t>
      </w:r>
      <w:r>
        <w:rPr>
          <w:rFonts w:ascii="Calibri" w:hAnsi="Calibri" w:cs="Calibri"/>
          <w:sz w:val="22"/>
          <w:szCs w:val="22"/>
        </w:rPr>
        <w:t>. Note that we should not have information regarding SIE</w:t>
      </w:r>
      <w:r w:rsidR="0007056B">
        <w:rPr>
          <w:rFonts w:ascii="Calibri" w:hAnsi="Calibri" w:cs="Calibri"/>
          <w:sz w:val="22"/>
          <w:szCs w:val="22"/>
        </w:rPr>
        <w:t xml:space="preserve"> in year </w:t>
      </w:r>
      <w:r w:rsidR="0007056B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07056B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>
        <w:rPr>
          <w:rFonts w:ascii="Calibri" w:hAnsi="Calibri" w:cs="Calibri"/>
          <w:sz w:val="22"/>
          <w:szCs w:val="22"/>
        </w:rPr>
        <w:t>, so we only calculate the trend using data</w:t>
      </w:r>
      <w:r w:rsidR="0007056B">
        <w:rPr>
          <w:rFonts w:ascii="Calibri" w:hAnsi="Calibri" w:cs="Calibri"/>
          <w:sz w:val="22"/>
          <w:szCs w:val="22"/>
        </w:rPr>
        <w:t xml:space="preserve"> up to </w:t>
      </w:r>
      <w:r w:rsidR="0007056B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07056B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 w:rsidR="0007056B">
        <w:rPr>
          <w:rFonts w:ascii="Calibri" w:hAnsi="Calibri" w:cs="Calibri"/>
          <w:bCs/>
          <w:i/>
          <w:sz w:val="22"/>
          <w:szCs w:val="22"/>
          <w:vertAlign w:val="subscript"/>
        </w:rPr>
        <w:t xml:space="preserve"> </w:t>
      </w:r>
      <w:r w:rsidR="0007056B">
        <w:rPr>
          <w:rFonts w:ascii="Calibri" w:hAnsi="Calibri" w:cs="Calibri"/>
          <w:bCs/>
          <w:i/>
          <w:sz w:val="22"/>
          <w:szCs w:val="22"/>
        </w:rPr>
        <w:t>-1</w:t>
      </w:r>
      <w:r w:rsidRPr="00792564">
        <w:rPr>
          <w:rFonts w:ascii="Calibri" w:hAnsi="Calibri" w:cs="Calibri"/>
          <w:sz w:val="22"/>
          <w:szCs w:val="22"/>
        </w:rPr>
        <w:t>.</w:t>
      </w:r>
    </w:p>
    <w:p w14:paraId="54CD4758" w14:textId="7777777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236EECE" w14:textId="6CF3E34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(2)</w:t>
      </w:r>
      <w:r w:rsidRPr="0079256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Fit </w:t>
      </w:r>
      <w:r w:rsidR="0007056B">
        <w:rPr>
          <w:rFonts w:ascii="Calibri" w:hAnsi="Calibri" w:cs="Calibri"/>
          <w:sz w:val="22"/>
          <w:szCs w:val="22"/>
        </w:rPr>
        <w:t>all grid cells of the given</w:t>
      </w:r>
      <w:r>
        <w:rPr>
          <w:rFonts w:ascii="Calibri" w:hAnsi="Calibri" w:cs="Calibri"/>
          <w:sz w:val="22"/>
          <w:szCs w:val="22"/>
        </w:rPr>
        <w:t xml:space="preserve"> predictor data (e.g. sea ice concentration) with a least-squares linear regression model (across the years 1979 t</w:t>
      </w:r>
      <w:r w:rsidR="00C914E0">
        <w:rPr>
          <w:rFonts w:ascii="Calibri" w:hAnsi="Calibri" w:cs="Calibri"/>
          <w:sz w:val="22"/>
          <w:szCs w:val="22"/>
        </w:rPr>
        <w:t xml:space="preserve">o </w:t>
      </w:r>
      <w:r w:rsidR="00C914E0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C914E0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 w:rsidR="00C914E0">
        <w:rPr>
          <w:rFonts w:ascii="Calibri" w:hAnsi="Calibri" w:cs="Calibri"/>
          <w:bCs/>
          <w:i/>
          <w:sz w:val="22"/>
          <w:szCs w:val="22"/>
          <w:vertAlign w:val="subscript"/>
        </w:rPr>
        <w:t xml:space="preserve"> </w:t>
      </w:r>
      <w:r w:rsidR="00C914E0">
        <w:rPr>
          <w:rFonts w:ascii="Calibri" w:hAnsi="Calibri" w:cs="Calibri"/>
          <w:bCs/>
          <w:i/>
          <w:sz w:val="22"/>
          <w:szCs w:val="22"/>
        </w:rPr>
        <w:t>-1</w:t>
      </w:r>
      <w:r w:rsidR="00C914E0">
        <w:rPr>
          <w:rFonts w:ascii="Calibri" w:hAnsi="Calibri" w:cs="Calibri"/>
          <w:sz w:val="22"/>
          <w:szCs w:val="22"/>
        </w:rPr>
        <w:t>)</w:t>
      </w:r>
      <w:r w:rsidRPr="00792564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Pr="00792564">
        <w:rPr>
          <w:rFonts w:ascii="Calibri" w:hAnsi="Calibri" w:cs="Calibri"/>
          <w:sz w:val="22"/>
          <w:szCs w:val="22"/>
        </w:rPr>
        <w:t xml:space="preserve">Subtract </w:t>
      </w:r>
      <w:r>
        <w:rPr>
          <w:rFonts w:ascii="Calibri" w:hAnsi="Calibri" w:cs="Calibri"/>
          <w:sz w:val="22"/>
          <w:szCs w:val="22"/>
        </w:rPr>
        <w:t xml:space="preserve">the trend line calculated from the predictor data at each grid cell to generate a </w:t>
      </w:r>
      <w:r w:rsidR="0007056B">
        <w:rPr>
          <w:rFonts w:ascii="Calibri" w:hAnsi="Calibri" w:cs="Calibri"/>
          <w:sz w:val="22"/>
          <w:szCs w:val="22"/>
        </w:rPr>
        <w:t xml:space="preserve">de-trended/gridded </w:t>
      </w:r>
      <w:r>
        <w:rPr>
          <w:rFonts w:ascii="Calibri" w:hAnsi="Calibri" w:cs="Calibri"/>
          <w:sz w:val="22"/>
          <w:szCs w:val="22"/>
        </w:rPr>
        <w:t xml:space="preserve">predictor </w:t>
      </w:r>
      <w:r w:rsidRPr="00792564">
        <w:rPr>
          <w:rFonts w:ascii="Calibri" w:hAnsi="Calibri" w:cs="Calibri"/>
          <w:sz w:val="22"/>
          <w:szCs w:val="22"/>
        </w:rPr>
        <w:t>time series</w:t>
      </w:r>
      <w:r>
        <w:rPr>
          <w:rFonts w:ascii="Calibri" w:hAnsi="Calibri" w:cs="Calibri"/>
          <w:sz w:val="22"/>
          <w:szCs w:val="22"/>
        </w:rPr>
        <w:t xml:space="preserve"> up to</w:t>
      </w:r>
      <w:r w:rsidR="00C914E0" w:rsidRPr="00C914E0">
        <w:rPr>
          <w:rFonts w:ascii="Calibri" w:hAnsi="Calibri" w:cs="Calibri"/>
          <w:bCs/>
          <w:i/>
          <w:sz w:val="22"/>
          <w:szCs w:val="22"/>
        </w:rPr>
        <w:t xml:space="preserve"> </w:t>
      </w:r>
      <w:r w:rsidR="00C914E0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C914E0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 w:rsidR="00C914E0">
        <w:rPr>
          <w:rFonts w:ascii="Calibri" w:hAnsi="Calibri" w:cs="Calibri"/>
          <w:bCs/>
          <w:i/>
          <w:sz w:val="22"/>
          <w:szCs w:val="22"/>
          <w:vertAlign w:val="subscript"/>
        </w:rPr>
        <w:t xml:space="preserve"> </w:t>
      </w:r>
      <w:r w:rsidR="00C914E0">
        <w:rPr>
          <w:rFonts w:ascii="Calibri" w:hAnsi="Calibri" w:cs="Calibri"/>
          <w:bCs/>
          <w:i/>
          <w:sz w:val="22"/>
          <w:szCs w:val="22"/>
        </w:rPr>
        <w:t>-1</w:t>
      </w:r>
      <w:r>
        <w:rPr>
          <w:rFonts w:ascii="Calibri" w:hAnsi="Calibri" w:cs="Calibri"/>
          <w:i/>
          <w:sz w:val="22"/>
          <w:szCs w:val="22"/>
        </w:rPr>
        <w:t xml:space="preserve">. </w:t>
      </w:r>
      <w:r w:rsidRPr="00714C4C">
        <w:rPr>
          <w:rFonts w:ascii="Calibri" w:hAnsi="Calibri" w:cs="Calibri"/>
          <w:sz w:val="22"/>
          <w:szCs w:val="22"/>
        </w:rPr>
        <w:t xml:space="preserve">Note that we </w:t>
      </w:r>
      <w:r>
        <w:rPr>
          <w:rFonts w:ascii="Calibri" w:hAnsi="Calibri" w:cs="Calibri"/>
          <w:sz w:val="22"/>
          <w:szCs w:val="22"/>
        </w:rPr>
        <w:t>require at</w:t>
      </w:r>
      <w:r w:rsidRPr="00714C4C">
        <w:rPr>
          <w:rFonts w:ascii="Calibri" w:hAnsi="Calibri" w:cs="Calibri"/>
          <w:sz w:val="22"/>
          <w:szCs w:val="22"/>
        </w:rPr>
        <w:t xml:space="preserve"> least three years of valid predictor data</w:t>
      </w:r>
      <w:r>
        <w:rPr>
          <w:rFonts w:ascii="Calibri" w:hAnsi="Calibri" w:cs="Calibri"/>
          <w:sz w:val="22"/>
          <w:szCs w:val="22"/>
        </w:rPr>
        <w:t xml:space="preserve"> prior to the given forecast year</w:t>
      </w:r>
      <w:r w:rsidRPr="00714C4C">
        <w:rPr>
          <w:rFonts w:ascii="Calibri" w:hAnsi="Calibri" w:cs="Calibri"/>
          <w:sz w:val="22"/>
          <w:szCs w:val="22"/>
        </w:rPr>
        <w:t xml:space="preserve"> (in </w:t>
      </w:r>
      <w:r>
        <w:rPr>
          <w:rFonts w:ascii="Calibri" w:hAnsi="Calibri" w:cs="Calibri"/>
          <w:sz w:val="22"/>
          <w:szCs w:val="22"/>
        </w:rPr>
        <w:t>a given</w:t>
      </w:r>
      <w:r w:rsidRPr="00714C4C">
        <w:rPr>
          <w:rFonts w:ascii="Calibri" w:hAnsi="Calibri" w:cs="Calibri"/>
          <w:sz w:val="22"/>
          <w:szCs w:val="22"/>
        </w:rPr>
        <w:t xml:space="preserve"> grid-cell) to </w:t>
      </w:r>
      <w:r>
        <w:rPr>
          <w:rFonts w:ascii="Calibri" w:hAnsi="Calibri" w:cs="Calibri"/>
          <w:sz w:val="22"/>
          <w:szCs w:val="22"/>
        </w:rPr>
        <w:t>utilize that grid-cell in the given forecast.</w:t>
      </w:r>
    </w:p>
    <w:p w14:paraId="70744DFE" w14:textId="7777777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38E0FE76" w14:textId="19DBFB8A" w:rsidR="00CA6745" w:rsidRPr="00C914E0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(3) Use the linear regression model </w:t>
      </w:r>
      <w:r w:rsidR="0007056B">
        <w:rPr>
          <w:rFonts w:ascii="Calibri" w:hAnsi="Calibri" w:cs="Calibri"/>
          <w:sz w:val="22"/>
          <w:szCs w:val="22"/>
        </w:rPr>
        <w:t xml:space="preserve">in each grid cell </w:t>
      </w:r>
      <w:r>
        <w:rPr>
          <w:rFonts w:ascii="Calibri" w:hAnsi="Calibri" w:cs="Calibri"/>
          <w:sz w:val="22"/>
          <w:szCs w:val="22"/>
        </w:rPr>
        <w:t xml:space="preserve">to calculate the </w:t>
      </w:r>
      <w:r w:rsidR="00403205">
        <w:rPr>
          <w:rFonts w:ascii="Calibri" w:hAnsi="Calibri" w:cs="Calibri"/>
          <w:sz w:val="22"/>
          <w:szCs w:val="22"/>
        </w:rPr>
        <w:t xml:space="preserve">detrended </w:t>
      </w:r>
      <w:r>
        <w:rPr>
          <w:rFonts w:ascii="Calibri" w:hAnsi="Calibri" w:cs="Calibri"/>
          <w:sz w:val="22"/>
          <w:szCs w:val="22"/>
        </w:rPr>
        <w:t xml:space="preserve">predictor values of the given forecast year, </w:t>
      </w:r>
      <w:r w:rsidR="0007056B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07056B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>
        <w:rPr>
          <w:rFonts w:ascii="Calibri" w:hAnsi="Calibri" w:cs="Calibri"/>
          <w:sz w:val="22"/>
          <w:szCs w:val="22"/>
        </w:rPr>
        <w:t xml:space="preserve">, expected from linear trend persistence. Subtract this </w:t>
      </w:r>
      <w:r w:rsidR="0007056B">
        <w:rPr>
          <w:rFonts w:ascii="Calibri" w:hAnsi="Calibri" w:cs="Calibri"/>
          <w:sz w:val="22"/>
          <w:szCs w:val="22"/>
        </w:rPr>
        <w:t xml:space="preserve">value </w:t>
      </w:r>
      <w:r>
        <w:rPr>
          <w:rFonts w:ascii="Calibri" w:hAnsi="Calibri" w:cs="Calibri"/>
          <w:sz w:val="22"/>
          <w:szCs w:val="22"/>
        </w:rPr>
        <w:t>from the predictor data</w:t>
      </w:r>
      <w:r w:rsidR="0007056B">
        <w:rPr>
          <w:rFonts w:ascii="Calibri" w:hAnsi="Calibri" w:cs="Calibri"/>
          <w:sz w:val="22"/>
          <w:szCs w:val="22"/>
        </w:rPr>
        <w:t xml:space="preserve"> at </w:t>
      </w:r>
      <w:r w:rsidR="0007056B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07056B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 w:rsidR="0007056B">
        <w:rPr>
          <w:rFonts w:ascii="Calibri" w:hAnsi="Calibri" w:cs="Calibri"/>
          <w:bCs/>
          <w:i/>
          <w:sz w:val="22"/>
          <w:szCs w:val="22"/>
          <w:vertAlign w:val="subscript"/>
        </w:rPr>
        <w:t xml:space="preserve">  </w:t>
      </w:r>
      <w:r>
        <w:rPr>
          <w:rFonts w:ascii="Calibri" w:hAnsi="Calibri" w:cs="Calibri"/>
          <w:sz w:val="22"/>
          <w:szCs w:val="22"/>
        </w:rPr>
        <w:t>to calculate the detrended</w:t>
      </w:r>
      <w:r w:rsidR="0007056B">
        <w:rPr>
          <w:rFonts w:ascii="Calibri" w:hAnsi="Calibri" w:cs="Calibri"/>
          <w:sz w:val="22"/>
          <w:szCs w:val="22"/>
        </w:rPr>
        <w:t>/gridded</w:t>
      </w:r>
      <w:r>
        <w:rPr>
          <w:rFonts w:ascii="Calibri" w:hAnsi="Calibri" w:cs="Calibri"/>
          <w:sz w:val="22"/>
          <w:szCs w:val="22"/>
        </w:rPr>
        <w:t xml:space="preserve"> predictor data for the given forecast year, </w:t>
      </w:r>
      <w:r w:rsidR="00C914E0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C914E0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 w:rsidR="00C914E0">
        <w:rPr>
          <w:rFonts w:ascii="Calibri" w:hAnsi="Calibri" w:cs="Calibri"/>
          <w:bCs/>
          <w:sz w:val="22"/>
          <w:szCs w:val="22"/>
          <w:vertAlign w:val="subscript"/>
        </w:rPr>
        <w:t>.</w:t>
      </w:r>
      <w:r w:rsidR="00403205">
        <w:rPr>
          <w:rFonts w:ascii="Calibri" w:hAnsi="Calibri" w:cs="Calibri"/>
          <w:bCs/>
          <w:sz w:val="22"/>
          <w:szCs w:val="22"/>
          <w:vertAlign w:val="subscript"/>
        </w:rPr>
        <w:t>.</w:t>
      </w:r>
    </w:p>
    <w:p w14:paraId="2A8ED201" w14:textId="7777777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41B41BC" w14:textId="2D738500" w:rsidR="00CA6745" w:rsidRPr="002C42B4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(4</w:t>
      </w:r>
      <w:r w:rsidRPr="00B40C68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Calculate the </w:t>
      </w:r>
      <w:r w:rsidR="00403205">
        <w:rPr>
          <w:rFonts w:ascii="Calibri" w:hAnsi="Calibri" w:cs="Calibri"/>
          <w:sz w:val="22"/>
          <w:szCs w:val="22"/>
        </w:rPr>
        <w:t>Pearson product-</w:t>
      </w:r>
      <w:r w:rsidRPr="00B40C68">
        <w:rPr>
          <w:rFonts w:ascii="Calibri" w:hAnsi="Calibri" w:cs="Calibri"/>
          <w:sz w:val="22"/>
          <w:szCs w:val="22"/>
        </w:rPr>
        <w:t>moment correlation coefficient</w:t>
      </w:r>
      <w:r>
        <w:rPr>
          <w:rFonts w:ascii="Calibri" w:hAnsi="Calibri" w:cs="Calibri"/>
          <w:sz w:val="22"/>
          <w:szCs w:val="22"/>
        </w:rPr>
        <w:t xml:space="preserve"> (</w:t>
      </w:r>
      <w:r w:rsidRPr="007C67B6">
        <w:rPr>
          <w:rFonts w:ascii="Calibri" w:hAnsi="Calibri" w:cs="Calibri"/>
          <w:i/>
          <w:sz w:val="22"/>
          <w:szCs w:val="22"/>
        </w:rPr>
        <w:t>r</w:t>
      </w:r>
      <w:r w:rsidR="00403205">
        <w:rPr>
          <w:rFonts w:ascii="Calibri" w:hAnsi="Calibri" w:cs="Calibri"/>
          <w:i/>
          <w:sz w:val="22"/>
          <w:szCs w:val="22"/>
        </w:rPr>
        <w:t>-</w:t>
      </w:r>
      <w:r w:rsidR="00403205" w:rsidRPr="007C67B6">
        <w:rPr>
          <w:rFonts w:ascii="Calibri" w:hAnsi="Calibri" w:cs="Calibri"/>
          <w:sz w:val="22"/>
          <w:szCs w:val="22"/>
        </w:rPr>
        <w:t>value</w:t>
      </w:r>
      <w:r>
        <w:rPr>
          <w:rFonts w:ascii="Calibri" w:hAnsi="Calibri" w:cs="Calibri"/>
          <w:sz w:val="22"/>
          <w:szCs w:val="22"/>
        </w:rPr>
        <w:t xml:space="preserve">) between the gridded/detrended predictor </w:t>
      </w:r>
      <w:r w:rsidR="0007056B">
        <w:rPr>
          <w:rFonts w:ascii="Calibri" w:hAnsi="Calibri" w:cs="Calibri"/>
          <w:sz w:val="22"/>
          <w:szCs w:val="22"/>
        </w:rPr>
        <w:t xml:space="preserve">time series </w:t>
      </w:r>
      <w:r>
        <w:rPr>
          <w:rFonts w:ascii="Calibri" w:hAnsi="Calibri" w:cs="Calibri"/>
          <w:sz w:val="22"/>
          <w:szCs w:val="22"/>
        </w:rPr>
        <w:t xml:space="preserve">with the detrended September SIE </w:t>
      </w:r>
      <w:r w:rsidR="0007056B">
        <w:rPr>
          <w:rFonts w:ascii="Calibri" w:hAnsi="Calibri" w:cs="Calibri"/>
          <w:sz w:val="22"/>
          <w:szCs w:val="22"/>
        </w:rPr>
        <w:t xml:space="preserve">(up to </w:t>
      </w:r>
      <w:r w:rsidR="0007056B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07056B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 w:rsidR="0007056B">
        <w:rPr>
          <w:rFonts w:ascii="Calibri" w:hAnsi="Calibri" w:cs="Calibri"/>
          <w:bCs/>
          <w:i/>
          <w:sz w:val="22"/>
          <w:szCs w:val="22"/>
          <w:vertAlign w:val="subscript"/>
        </w:rPr>
        <w:t xml:space="preserve"> </w:t>
      </w:r>
      <w:r w:rsidR="0007056B">
        <w:rPr>
          <w:rFonts w:ascii="Calibri" w:hAnsi="Calibri" w:cs="Calibri"/>
          <w:bCs/>
          <w:i/>
          <w:sz w:val="22"/>
          <w:szCs w:val="22"/>
        </w:rPr>
        <w:t>-1</w:t>
      </w:r>
      <w:r w:rsidR="0007056B">
        <w:rPr>
          <w:rFonts w:ascii="Calibri" w:hAnsi="Calibri" w:cs="Calibri"/>
          <w:bCs/>
          <w:sz w:val="22"/>
          <w:szCs w:val="22"/>
        </w:rPr>
        <w:t>)</w:t>
      </w:r>
      <w:r w:rsidR="0007056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using a least-squares linear regression model. </w:t>
      </w:r>
      <w:r w:rsidRPr="00CD1480">
        <w:rPr>
          <w:rFonts w:ascii="Calibri" w:hAnsi="Calibri" w:cs="Calibri"/>
          <w:bCs/>
          <w:sz w:val="22"/>
          <w:szCs w:val="22"/>
        </w:rPr>
        <w:t>For the SIC (MO</w:t>
      </w:r>
      <w:r>
        <w:rPr>
          <w:rFonts w:ascii="Calibri" w:hAnsi="Calibri" w:cs="Calibri"/>
          <w:bCs/>
          <w:sz w:val="22"/>
          <w:szCs w:val="22"/>
        </w:rPr>
        <w:t xml:space="preserve">) data, set </w:t>
      </w:r>
      <w:r w:rsidRPr="00CD1480">
        <w:rPr>
          <w:rFonts w:ascii="Calibri" w:hAnsi="Calibri" w:cs="Calibri"/>
          <w:bCs/>
          <w:sz w:val="22"/>
          <w:szCs w:val="22"/>
        </w:rPr>
        <w:t>negative (</w:t>
      </w:r>
      <w:r>
        <w:rPr>
          <w:rFonts w:ascii="Calibri" w:hAnsi="Calibri" w:cs="Calibri"/>
          <w:bCs/>
          <w:sz w:val="22"/>
          <w:szCs w:val="22"/>
        </w:rPr>
        <w:t>positive)</w:t>
      </w:r>
      <w:r w:rsidRPr="007C67B6">
        <w:rPr>
          <w:rFonts w:ascii="Calibri" w:hAnsi="Calibri" w:cs="Calibri"/>
          <w:bCs/>
          <w:i/>
          <w:sz w:val="22"/>
          <w:szCs w:val="22"/>
        </w:rPr>
        <w:t xml:space="preserve"> r</w:t>
      </w:r>
      <w:r>
        <w:rPr>
          <w:rFonts w:ascii="Calibri" w:hAnsi="Calibri" w:cs="Calibri"/>
          <w:bCs/>
          <w:sz w:val="22"/>
          <w:szCs w:val="22"/>
        </w:rPr>
        <w:t xml:space="preserve">-values to 0, as these are </w:t>
      </w:r>
      <w:r w:rsidR="0007056B">
        <w:rPr>
          <w:rFonts w:ascii="Calibri" w:hAnsi="Calibri" w:cs="Calibri"/>
          <w:bCs/>
          <w:sz w:val="22"/>
          <w:szCs w:val="22"/>
        </w:rPr>
        <w:t>assumed</w:t>
      </w:r>
      <w:r>
        <w:rPr>
          <w:rFonts w:ascii="Calibri" w:hAnsi="Calibri" w:cs="Calibri"/>
          <w:bCs/>
          <w:sz w:val="22"/>
          <w:szCs w:val="22"/>
        </w:rPr>
        <w:t xml:space="preserve"> to be physically inconsistent (</w:t>
      </w:r>
      <w:r w:rsidR="0007056B">
        <w:rPr>
          <w:rFonts w:ascii="Calibri" w:hAnsi="Calibri" w:cs="Calibri"/>
          <w:bCs/>
          <w:sz w:val="22"/>
          <w:szCs w:val="22"/>
        </w:rPr>
        <w:t xml:space="preserve">e.g. </w:t>
      </w:r>
      <w:r>
        <w:rPr>
          <w:rFonts w:ascii="Calibri" w:hAnsi="Calibri" w:cs="Calibri"/>
          <w:bCs/>
          <w:sz w:val="22"/>
          <w:szCs w:val="22"/>
        </w:rPr>
        <w:t>one does not expect higher sea ice concentration in spring to result in lower September SIE). Note that negative MP data are also set to zero using the same logic.</w:t>
      </w:r>
    </w:p>
    <w:p w14:paraId="64B5AD2D" w14:textId="7777777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8C1760F" w14:textId="537ACB6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(5) Multiply the gridded</w:t>
      </w:r>
      <w:r w:rsidR="0007056B">
        <w:rPr>
          <w:rFonts w:ascii="Calibri" w:hAnsi="Calibri" w:cs="Calibri"/>
          <w:sz w:val="22"/>
          <w:szCs w:val="22"/>
        </w:rPr>
        <w:t>/detrended</w:t>
      </w:r>
      <w:r>
        <w:rPr>
          <w:rFonts w:ascii="Calibri" w:hAnsi="Calibri" w:cs="Calibri"/>
          <w:sz w:val="22"/>
          <w:szCs w:val="22"/>
        </w:rPr>
        <w:t xml:space="preserve"> predictor </w:t>
      </w:r>
      <w:r w:rsidR="0007056B">
        <w:rPr>
          <w:rFonts w:ascii="Calibri" w:hAnsi="Calibri" w:cs="Calibri"/>
          <w:sz w:val="22"/>
          <w:szCs w:val="22"/>
        </w:rPr>
        <w:t>time series</w:t>
      </w:r>
      <w:r>
        <w:rPr>
          <w:rFonts w:ascii="Calibri" w:hAnsi="Calibri" w:cs="Calibri"/>
          <w:sz w:val="22"/>
          <w:szCs w:val="22"/>
        </w:rPr>
        <w:t xml:space="preserve"> up </w:t>
      </w:r>
      <w:r w:rsidR="00C914E0">
        <w:rPr>
          <w:rFonts w:ascii="Calibri" w:hAnsi="Calibri" w:cs="Calibri"/>
          <w:sz w:val="22"/>
          <w:szCs w:val="22"/>
        </w:rPr>
        <w:t>to</w:t>
      </w:r>
      <w:r w:rsidR="00C914E0" w:rsidRPr="00C914E0">
        <w:rPr>
          <w:rFonts w:ascii="Calibri" w:hAnsi="Calibri" w:cs="Calibri"/>
          <w:bCs/>
          <w:i/>
          <w:sz w:val="22"/>
          <w:szCs w:val="22"/>
        </w:rPr>
        <w:t xml:space="preserve"> </w:t>
      </w:r>
      <w:r w:rsidR="00C914E0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C914E0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 w:rsidR="00C914E0">
        <w:rPr>
          <w:rFonts w:ascii="Calibri" w:hAnsi="Calibri" w:cs="Calibri"/>
          <w:bCs/>
          <w:i/>
          <w:sz w:val="22"/>
          <w:szCs w:val="22"/>
          <w:vertAlign w:val="subscript"/>
        </w:rPr>
        <w:t xml:space="preserve"> </w:t>
      </w:r>
      <w:r w:rsidR="00C914E0">
        <w:rPr>
          <w:rFonts w:ascii="Calibri" w:hAnsi="Calibri" w:cs="Calibri"/>
          <w:bCs/>
          <w:i/>
          <w:sz w:val="22"/>
          <w:szCs w:val="22"/>
        </w:rPr>
        <w:t xml:space="preserve">-1 </w:t>
      </w:r>
      <w:r>
        <w:rPr>
          <w:rFonts w:ascii="Calibri" w:hAnsi="Calibri" w:cs="Calibri"/>
          <w:sz w:val="22"/>
          <w:szCs w:val="22"/>
        </w:rPr>
        <w:t xml:space="preserve">by the </w:t>
      </w:r>
      <w:r w:rsidRPr="007C67B6">
        <w:rPr>
          <w:rFonts w:ascii="Calibri" w:hAnsi="Calibri" w:cs="Calibri"/>
          <w:i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-values (spatial weightings) and average</w:t>
      </w:r>
      <w:r w:rsidR="00C10A26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to generate a weighted/detrended predictor time series. Fit the weighted/detrended predictor</w:t>
      </w:r>
      <w:r w:rsidR="0007056B">
        <w:rPr>
          <w:rFonts w:ascii="Calibri" w:hAnsi="Calibri" w:cs="Calibri"/>
          <w:sz w:val="22"/>
          <w:szCs w:val="22"/>
        </w:rPr>
        <w:t xml:space="preserve"> time series</w:t>
      </w:r>
      <w:r>
        <w:rPr>
          <w:rFonts w:ascii="Calibri" w:hAnsi="Calibri" w:cs="Calibri"/>
          <w:sz w:val="22"/>
          <w:szCs w:val="22"/>
        </w:rPr>
        <w:t xml:space="preserve"> to the detrended SIE </w:t>
      </w:r>
      <w:r w:rsidR="0007056B">
        <w:rPr>
          <w:rFonts w:ascii="Calibri" w:hAnsi="Calibri" w:cs="Calibri"/>
          <w:sz w:val="22"/>
          <w:szCs w:val="22"/>
        </w:rPr>
        <w:t xml:space="preserve">time series </w:t>
      </w:r>
      <w:r>
        <w:rPr>
          <w:rFonts w:ascii="Calibri" w:hAnsi="Calibri" w:cs="Calibri"/>
          <w:sz w:val="22"/>
          <w:szCs w:val="22"/>
        </w:rPr>
        <w:t>with a least-squares linear regression model</w:t>
      </w:r>
      <w:r w:rsidRPr="00792564">
        <w:rPr>
          <w:rFonts w:ascii="Calibri" w:hAnsi="Calibri" w:cs="Calibri"/>
          <w:sz w:val="22"/>
          <w:szCs w:val="22"/>
        </w:rPr>
        <w:t>.</w:t>
      </w:r>
      <w:r w:rsidR="00C10A26">
        <w:rPr>
          <w:rFonts w:ascii="Calibri" w:hAnsi="Calibri" w:cs="Calibri"/>
          <w:sz w:val="22"/>
          <w:szCs w:val="22"/>
        </w:rPr>
        <w:t xml:space="preserve"> This is our SIE prediction model for the given forecast year.</w:t>
      </w:r>
    </w:p>
    <w:p w14:paraId="20DAE7B5" w14:textId="7777777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4F0119D" w14:textId="77777777" w:rsidR="00C10A26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(6) Multiply the gridded/detrended predictor data for the current forecast year, </w:t>
      </w:r>
      <w:r w:rsidR="00C914E0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C914E0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 w:rsidR="00C914E0">
        <w:rPr>
          <w:rFonts w:ascii="Calibri" w:hAnsi="Calibri" w:cs="Calibri"/>
          <w:bCs/>
          <w:i/>
          <w:sz w:val="22"/>
          <w:szCs w:val="22"/>
          <w:vertAlign w:val="subscript"/>
        </w:rPr>
        <w:t xml:space="preserve"> </w:t>
      </w:r>
      <w:r w:rsidR="00C914E0">
        <w:rPr>
          <w:rFonts w:ascii="Calibri" w:hAnsi="Calibri" w:cs="Calibri"/>
          <w:bCs/>
          <w:i/>
          <w:sz w:val="22"/>
          <w:szCs w:val="22"/>
        </w:rPr>
        <w:t xml:space="preserve">, </w:t>
      </w:r>
      <w:r w:rsidR="00C10A26">
        <w:rPr>
          <w:rFonts w:ascii="Calibri" w:hAnsi="Calibri" w:cs="Calibri"/>
          <w:sz w:val="22"/>
          <w:szCs w:val="22"/>
        </w:rPr>
        <w:t>by the r-values (</w:t>
      </w:r>
      <w:r>
        <w:rPr>
          <w:rFonts w:ascii="Calibri" w:hAnsi="Calibri" w:cs="Calibri"/>
          <w:sz w:val="22"/>
          <w:szCs w:val="22"/>
        </w:rPr>
        <w:t>spatial weightings</w:t>
      </w:r>
      <w:r w:rsidR="00C10A26">
        <w:rPr>
          <w:rFonts w:ascii="Calibri" w:hAnsi="Calibri" w:cs="Calibri"/>
          <w:sz w:val="22"/>
          <w:szCs w:val="22"/>
        </w:rPr>
        <w:t>) calculated in step 4</w:t>
      </w:r>
      <w:r>
        <w:rPr>
          <w:rFonts w:ascii="Calibri" w:hAnsi="Calibri" w:cs="Calibri"/>
          <w:sz w:val="22"/>
          <w:szCs w:val="22"/>
        </w:rPr>
        <w:t xml:space="preserve"> and average, to generate a weighted/detrended predictor data point. Apply this </w:t>
      </w:r>
      <w:r w:rsidR="0007056B">
        <w:rPr>
          <w:rFonts w:ascii="Calibri" w:hAnsi="Calibri" w:cs="Calibri"/>
          <w:sz w:val="22"/>
          <w:szCs w:val="22"/>
        </w:rPr>
        <w:t xml:space="preserve">value </w:t>
      </w:r>
      <w:r>
        <w:rPr>
          <w:rFonts w:ascii="Calibri" w:hAnsi="Calibri" w:cs="Calibri"/>
          <w:sz w:val="22"/>
          <w:szCs w:val="22"/>
        </w:rPr>
        <w:t xml:space="preserve">to the linear regression </w:t>
      </w:r>
      <w:r w:rsidR="00C10A26">
        <w:rPr>
          <w:rFonts w:ascii="Calibri" w:hAnsi="Calibri" w:cs="Calibri"/>
          <w:sz w:val="22"/>
          <w:szCs w:val="22"/>
        </w:rPr>
        <w:t xml:space="preserve">prediction </w:t>
      </w:r>
      <w:r>
        <w:rPr>
          <w:rFonts w:ascii="Calibri" w:hAnsi="Calibri" w:cs="Calibri"/>
          <w:sz w:val="22"/>
          <w:szCs w:val="22"/>
        </w:rPr>
        <w:t xml:space="preserve">model (calculated in step 5) to predict </w:t>
      </w:r>
      <w:r w:rsidR="00D653F6">
        <w:rPr>
          <w:rFonts w:ascii="Calibri" w:hAnsi="Calibri" w:cs="Calibri"/>
          <w:sz w:val="22"/>
          <w:szCs w:val="22"/>
        </w:rPr>
        <w:t xml:space="preserve">the detrended </w:t>
      </w:r>
      <w:r>
        <w:rPr>
          <w:rFonts w:ascii="Calibri" w:hAnsi="Calibri" w:cs="Calibri"/>
          <w:sz w:val="22"/>
          <w:szCs w:val="22"/>
        </w:rPr>
        <w:t>September SIE</w:t>
      </w:r>
      <w:r w:rsidR="0007056B">
        <w:rPr>
          <w:rFonts w:ascii="Calibri" w:hAnsi="Calibri" w:cs="Calibri"/>
          <w:sz w:val="22"/>
          <w:szCs w:val="22"/>
        </w:rPr>
        <w:t xml:space="preserve"> of the given forecast year, </w:t>
      </w:r>
      <w:r w:rsidR="0007056B" w:rsidRPr="003768B9">
        <w:rPr>
          <w:rFonts w:ascii="Calibri" w:hAnsi="Calibri" w:cs="Calibri"/>
          <w:bCs/>
          <w:i/>
          <w:sz w:val="22"/>
          <w:szCs w:val="22"/>
        </w:rPr>
        <w:t>Y</w:t>
      </w:r>
      <w:r w:rsidR="0007056B"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>
        <w:rPr>
          <w:rFonts w:ascii="Calibri" w:hAnsi="Calibri" w:cs="Calibri"/>
          <w:sz w:val="22"/>
          <w:szCs w:val="22"/>
        </w:rPr>
        <w:t>.</w:t>
      </w:r>
      <w:r w:rsidR="00D653F6">
        <w:rPr>
          <w:rFonts w:ascii="Calibri" w:hAnsi="Calibri" w:cs="Calibri"/>
          <w:sz w:val="22"/>
          <w:szCs w:val="22"/>
        </w:rPr>
        <w:t xml:space="preserve"> </w:t>
      </w:r>
    </w:p>
    <w:p w14:paraId="7C6CFC7D" w14:textId="77777777" w:rsidR="00C10A26" w:rsidRDefault="00C10A26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8F7BE75" w14:textId="54EFCAC8" w:rsidR="00CA6745" w:rsidRDefault="00C10A26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(7) Use the linear regression of September SIE calculated in step</w:t>
      </w:r>
      <w:r w:rsidR="00D653F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1 to calculate the SIE expected from linear trend persistence in year </w:t>
      </w:r>
      <w:r w:rsidRPr="003768B9">
        <w:rPr>
          <w:rFonts w:ascii="Calibri" w:hAnsi="Calibri" w:cs="Calibri"/>
          <w:bCs/>
          <w:i/>
          <w:sz w:val="22"/>
          <w:szCs w:val="22"/>
        </w:rPr>
        <w:t>Y</w:t>
      </w:r>
      <w:r w:rsidRPr="005677EB">
        <w:rPr>
          <w:rFonts w:ascii="Calibri" w:hAnsi="Calibri" w:cs="Calibri"/>
          <w:bCs/>
          <w:i/>
          <w:sz w:val="22"/>
          <w:szCs w:val="22"/>
          <w:vertAlign w:val="subscript"/>
        </w:rPr>
        <w:t>f</w:t>
      </w:r>
      <w:r>
        <w:rPr>
          <w:rFonts w:ascii="Calibri" w:hAnsi="Calibri" w:cs="Calibri"/>
          <w:sz w:val="22"/>
          <w:szCs w:val="22"/>
        </w:rPr>
        <w:t>. This value can be added to the forecast of detrended SIE (calculated in step 6) to provide our forecast of absolute SIE.</w:t>
      </w:r>
    </w:p>
    <w:p w14:paraId="23524EB8" w14:textId="7777777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7A2B5DF" w14:textId="351726F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(7) The forecast error (</w:t>
      </w:r>
      <m:oMath>
        <m:sSubSup>
          <m:sSubSupPr>
            <m:ctrlPr>
              <w:rPr>
                <w:rFonts w:ascii="Cambria Math" w:hAnsi="Cambria Math" w:cs="Times"/>
                <w:i/>
                <w:szCs w:val="24"/>
              </w:rPr>
            </m:ctrlPr>
          </m:sSubSupPr>
          <m:e>
            <m:r>
              <w:rPr>
                <w:rFonts w:ascii="Cambria Math" w:hAnsi="Cambria Math" w:cs="Times"/>
                <w:szCs w:val="24"/>
              </w:rPr>
              <m:t>ε</m:t>
            </m:r>
          </m:e>
          <m:sub>
            <m:r>
              <w:rPr>
                <w:rFonts w:ascii="Cambria Math" w:hAnsi="Cambria Math" w:cs="Times"/>
                <w:szCs w:val="24"/>
              </w:rPr>
              <m:t>ferr</m:t>
            </m:r>
          </m:sub>
          <m:sup>
            <m:r>
              <w:rPr>
                <w:rFonts w:ascii="Cambria Math" w:hAnsi="Cambria Math" w:cs="Times"/>
                <w:szCs w:val="24"/>
              </w:rPr>
              <m:t>Y</m:t>
            </m:r>
          </m:sup>
        </m:sSubSup>
      </m:oMath>
      <w:r>
        <w:rPr>
          <w:rFonts w:ascii="Calibri" w:hAnsi="Calibri" w:cs="Calibri"/>
          <w:sz w:val="22"/>
          <w:szCs w:val="22"/>
        </w:rPr>
        <w:t>), is calculate</w:t>
      </w:r>
      <w:r w:rsidR="00D50197">
        <w:rPr>
          <w:rFonts w:ascii="Calibri" w:hAnsi="Calibri" w:cs="Calibri"/>
          <w:sz w:val="22"/>
          <w:szCs w:val="22"/>
        </w:rPr>
        <w:t xml:space="preserve">d as the difference between </w:t>
      </w:r>
      <w:r>
        <w:rPr>
          <w:rFonts w:ascii="Calibri" w:hAnsi="Calibri" w:cs="Calibri"/>
          <w:sz w:val="22"/>
          <w:szCs w:val="22"/>
        </w:rPr>
        <w:t>the observed SIE</w:t>
      </w:r>
      <w:r w:rsidR="00C10A26">
        <w:rPr>
          <w:rFonts w:ascii="Calibri" w:hAnsi="Calibri" w:cs="Calibri"/>
          <w:sz w:val="22"/>
          <w:szCs w:val="22"/>
        </w:rPr>
        <w:t xml:space="preserve"> and the forecast SIE. </w:t>
      </w:r>
      <w:r>
        <w:rPr>
          <w:rFonts w:ascii="Calibri" w:hAnsi="Calibri" w:cs="Calibri"/>
          <w:sz w:val="22"/>
          <w:szCs w:val="22"/>
        </w:rPr>
        <w:t xml:space="preserve">The </w:t>
      </w:r>
      <w:r w:rsidR="00D50197">
        <w:rPr>
          <w:rFonts w:ascii="Calibri" w:hAnsi="Calibri" w:cs="Calibri"/>
          <w:sz w:val="22"/>
          <w:szCs w:val="22"/>
        </w:rPr>
        <w:t xml:space="preserve">reference error </w:t>
      </w:r>
      <w:r>
        <w:rPr>
          <w:rFonts w:ascii="Calibri" w:hAnsi="Calibri" w:cs="Calibri"/>
          <w:sz w:val="22"/>
          <w:szCs w:val="22"/>
        </w:rPr>
        <w:t>(</w:t>
      </w:r>
      <m:oMath>
        <m:sSubSup>
          <m:sSubSupPr>
            <m:ctrlPr>
              <w:rPr>
                <w:rFonts w:ascii="Cambria Math" w:hAnsi="Cambria Math" w:cs="Times"/>
                <w:i/>
                <w:szCs w:val="24"/>
              </w:rPr>
            </m:ctrlPr>
          </m:sSubSupPr>
          <m:e>
            <m:r>
              <w:rPr>
                <w:rFonts w:ascii="Cambria Math" w:hAnsi="Cambria Math" w:cs="Times"/>
                <w:szCs w:val="24"/>
              </w:rPr>
              <m:t>ε</m:t>
            </m:r>
          </m:e>
          <m:sub>
            <m:r>
              <w:rPr>
                <w:rFonts w:ascii="Cambria Math" w:hAnsi="Cambria Math" w:cs="Times"/>
                <w:szCs w:val="24"/>
              </w:rPr>
              <m:t>anom</m:t>
            </m:r>
          </m:sub>
          <m:sup>
            <m:r>
              <w:rPr>
                <w:rFonts w:ascii="Cambria Math" w:hAnsi="Cambria Math" w:cs="Times"/>
                <w:szCs w:val="24"/>
              </w:rPr>
              <m:t>Y</m:t>
            </m:r>
          </m:sup>
        </m:sSubSup>
      </m:oMath>
      <w:r>
        <w:rPr>
          <w:rFonts w:ascii="Calibri" w:hAnsi="Calibri" w:cs="Calibri"/>
          <w:sz w:val="22"/>
          <w:szCs w:val="22"/>
        </w:rPr>
        <w:t xml:space="preserve">) is </w:t>
      </w:r>
      <w:r w:rsidR="0041161B">
        <w:rPr>
          <w:rFonts w:ascii="Calibri" w:hAnsi="Calibri" w:cs="Calibri"/>
          <w:sz w:val="22"/>
          <w:szCs w:val="22"/>
        </w:rPr>
        <w:t>calculated as</w:t>
      </w:r>
      <w:r>
        <w:rPr>
          <w:rFonts w:ascii="Calibri" w:hAnsi="Calibri" w:cs="Calibri"/>
          <w:sz w:val="22"/>
          <w:szCs w:val="22"/>
        </w:rPr>
        <w:t xml:space="preserve"> the </w:t>
      </w:r>
      <w:r w:rsidR="00D653F6">
        <w:rPr>
          <w:rFonts w:ascii="Calibri" w:hAnsi="Calibri" w:cs="Calibri"/>
          <w:sz w:val="22"/>
          <w:szCs w:val="22"/>
        </w:rPr>
        <w:t xml:space="preserve">difference between the observed SIE and the </w:t>
      </w:r>
      <w:r w:rsidR="00D50197">
        <w:rPr>
          <w:rFonts w:ascii="Calibri" w:hAnsi="Calibri" w:cs="Calibri"/>
          <w:sz w:val="22"/>
          <w:szCs w:val="22"/>
        </w:rPr>
        <w:t>SIE from linear trend persistence</w:t>
      </w:r>
      <w:r w:rsidR="0007056B">
        <w:rPr>
          <w:rFonts w:ascii="Calibri" w:hAnsi="Calibri" w:cs="Calibri"/>
          <w:sz w:val="22"/>
          <w:szCs w:val="22"/>
        </w:rPr>
        <w:t xml:space="preserve"> (the detrended SIE)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2827FB5D" w14:textId="77777777" w:rsidR="00CA6745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0E2DFFA" w14:textId="272E4D84" w:rsidR="00CA6745" w:rsidRDefault="0007056B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</w:t>
      </w:r>
      <w:r w:rsidR="0046150B">
        <w:rPr>
          <w:rFonts w:ascii="Calibri" w:hAnsi="Calibri" w:cs="Calibri"/>
          <w:sz w:val="22"/>
          <w:szCs w:val="22"/>
        </w:rPr>
        <w:t xml:space="preserve"> calculate the forecast skill, t</w:t>
      </w:r>
      <w:r w:rsidR="00CA6745">
        <w:rPr>
          <w:rFonts w:ascii="Calibri" w:hAnsi="Calibri" w:cs="Calibri"/>
          <w:sz w:val="22"/>
          <w:szCs w:val="22"/>
        </w:rPr>
        <w:t>he root mean squared error</w:t>
      </w:r>
      <w:r>
        <w:rPr>
          <w:rFonts w:ascii="Calibri" w:hAnsi="Calibri" w:cs="Calibri"/>
          <w:sz w:val="22"/>
          <w:szCs w:val="22"/>
        </w:rPr>
        <w:t>s of the forecast and the reference value (linear trend persistence) are</w:t>
      </w:r>
      <w:r w:rsidR="0046150B">
        <w:rPr>
          <w:rFonts w:ascii="Calibri" w:hAnsi="Calibri" w:cs="Calibri"/>
          <w:sz w:val="22"/>
          <w:szCs w:val="22"/>
        </w:rPr>
        <w:t xml:space="preserve"> calculated by summing together the relative errors,  </w:t>
      </w:r>
      <m:oMath>
        <m:sSubSup>
          <m:sSubSupPr>
            <m:ctrlPr>
              <w:rPr>
                <w:rFonts w:ascii="Cambria Math" w:hAnsi="Cambria Math" w:cs="Times"/>
                <w:i/>
                <w:szCs w:val="24"/>
              </w:rPr>
            </m:ctrlPr>
          </m:sSubSupPr>
          <m:e>
            <m:r>
              <w:rPr>
                <w:rFonts w:ascii="Cambria Math" w:hAnsi="Cambria Math" w:cs="Times"/>
                <w:szCs w:val="24"/>
              </w:rPr>
              <m:t>σ</m:t>
            </m:r>
          </m:e>
          <m:sub>
            <m:r>
              <w:rPr>
                <w:rFonts w:ascii="Cambria Math" w:hAnsi="Cambria Math" w:cs="Times"/>
                <w:szCs w:val="24"/>
              </w:rPr>
              <m:t>ferr</m:t>
            </m:r>
          </m:sub>
          <m:sup>
            <m:r>
              <w:rPr>
                <w:rFonts w:ascii="Cambria Math" w:hAnsi="Cambria Math" w:cs="Times"/>
                <w:szCs w:val="24"/>
              </w:rPr>
              <m:t>2</m:t>
            </m:r>
          </m:sup>
        </m:sSubSup>
        <m:r>
          <w:rPr>
            <w:rFonts w:ascii="Cambria Math" w:hAnsi="Cambria Math" w:cs="Times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"/>
                <w:i/>
                <w:szCs w:val="24"/>
              </w:rPr>
            </m:ctrlPr>
          </m:naryPr>
          <m:sub>
            <m:r>
              <w:rPr>
                <w:rFonts w:ascii="Cambria Math" w:hAnsi="Cambria Math" w:cs="Times"/>
                <w:szCs w:val="24"/>
              </w:rPr>
              <m:t>Yrs</m:t>
            </m:r>
          </m:sub>
          <m:sup/>
          <m:e>
            <m:sSup>
              <m:sSupPr>
                <m:ctrlPr>
                  <w:rPr>
                    <w:rFonts w:ascii="Cambria Math" w:hAnsi="Cambria Math" w:cs="Times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"/>
                        <w:i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Cs w:val="24"/>
                          </w:rPr>
                          <m:t>ferr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Cs w:val="24"/>
                          </w:rPr>
                          <m:t>Y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"/>
                  </w:rPr>
                  <m:t>2</m:t>
                </m:r>
              </m:sup>
            </m:sSup>
          </m:e>
        </m:nary>
      </m:oMath>
      <w:r w:rsidR="0046150B">
        <w:rPr>
          <w:rFonts w:ascii="Calibri" w:hAnsi="Calibri" w:cs="Calibri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 w:cs="Times"/>
                <w:i/>
                <w:szCs w:val="24"/>
              </w:rPr>
            </m:ctrlPr>
          </m:sSubSupPr>
          <m:e>
            <m:r>
              <w:rPr>
                <w:rFonts w:ascii="Cambria Math" w:hAnsi="Cambria Math" w:cs="Times"/>
                <w:szCs w:val="24"/>
              </w:rPr>
              <m:t>σ</m:t>
            </m:r>
          </m:e>
          <m:sub>
            <m:r>
              <w:rPr>
                <w:rFonts w:ascii="Cambria Math" w:hAnsi="Cambria Math" w:cs="Times"/>
                <w:szCs w:val="24"/>
              </w:rPr>
              <m:t>anom</m:t>
            </m:r>
          </m:sub>
          <m:sup>
            <m:r>
              <w:rPr>
                <w:rFonts w:ascii="Cambria Math" w:hAnsi="Cambria Math" w:cs="Times"/>
                <w:szCs w:val="24"/>
              </w:rPr>
              <m:t>2</m:t>
            </m:r>
          </m:sup>
        </m:sSubSup>
        <m:r>
          <w:rPr>
            <w:rFonts w:ascii="Cambria Math" w:hAnsi="Cambria Math" w:cs="Times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"/>
                <w:i/>
                <w:szCs w:val="24"/>
              </w:rPr>
            </m:ctrlPr>
          </m:naryPr>
          <m:sub>
            <m:r>
              <w:rPr>
                <w:rFonts w:ascii="Cambria Math" w:hAnsi="Cambria Math" w:cs="Times"/>
                <w:szCs w:val="24"/>
              </w:rPr>
              <m:t>Yrs</m:t>
            </m:r>
          </m:sub>
          <m:sup/>
          <m:e>
            <m:sSup>
              <m:sSupPr>
                <m:ctrlPr>
                  <w:rPr>
                    <w:rFonts w:ascii="Cambria Math" w:hAnsi="Cambria Math" w:cs="Times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"/>
                        <w:i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Cs w:val="24"/>
                          </w:rPr>
                          <m:t>anom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Cs w:val="24"/>
                          </w:rPr>
                          <m:t>Y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"/>
                  </w:rPr>
                  <m:t>2</m:t>
                </m:r>
              </m:sup>
            </m:sSup>
          </m:e>
        </m:nary>
      </m:oMath>
      <w:r w:rsidR="0046150B">
        <w:rPr>
          <w:rFonts w:ascii="Calibri" w:hAnsi="Calibri" w:cs="Calibri"/>
          <w:sz w:val="22"/>
          <w:szCs w:val="22"/>
        </w:rPr>
        <w:t xml:space="preserve"> </w:t>
      </w:r>
      <w:r w:rsidR="00CA6745">
        <w:rPr>
          <w:rFonts w:ascii="Calibri" w:hAnsi="Calibri" w:cs="Calibri"/>
          <w:sz w:val="22"/>
          <w:szCs w:val="22"/>
        </w:rPr>
        <w:t xml:space="preserve">over the relevant </w:t>
      </w:r>
      <w:r w:rsidR="0046150B">
        <w:rPr>
          <w:rFonts w:ascii="Calibri" w:hAnsi="Calibri" w:cs="Calibri"/>
          <w:sz w:val="22"/>
          <w:szCs w:val="22"/>
        </w:rPr>
        <w:t xml:space="preserve">forecast </w:t>
      </w:r>
      <w:r w:rsidR="00CA6745">
        <w:rPr>
          <w:rFonts w:ascii="Calibri" w:hAnsi="Calibri" w:cs="Calibri"/>
          <w:sz w:val="22"/>
          <w:szCs w:val="22"/>
        </w:rPr>
        <w:t xml:space="preserve">evaluation time period (e.g. </w:t>
      </w:r>
      <w:r>
        <w:rPr>
          <w:rFonts w:ascii="Calibri" w:hAnsi="Calibri" w:cs="Calibri"/>
          <w:sz w:val="22"/>
          <w:szCs w:val="22"/>
        </w:rPr>
        <w:t>Yrs=</w:t>
      </w:r>
      <w:r w:rsidR="00CA6745">
        <w:rPr>
          <w:rFonts w:ascii="Calibri" w:hAnsi="Calibri" w:cs="Calibri"/>
          <w:sz w:val="22"/>
          <w:szCs w:val="22"/>
        </w:rPr>
        <w:t xml:space="preserve">1985-2016 or 2008-2016) to estimate the forecast skill as </w:t>
      </w:r>
      <m:oMath>
        <m:r>
          <w:rPr>
            <w:rFonts w:ascii="Cambria Math" w:hAnsi="Cambria Math" w:cs="Times"/>
            <w:szCs w:val="24"/>
          </w:rPr>
          <m:t xml:space="preserve">S=1- </m:t>
        </m:r>
        <m:sSubSup>
          <m:sSubSupPr>
            <m:ctrlPr>
              <w:rPr>
                <w:rFonts w:ascii="Cambria Math" w:hAnsi="Cambria Math" w:cs="Times"/>
                <w:i/>
                <w:szCs w:val="24"/>
              </w:rPr>
            </m:ctrlPr>
          </m:sSubSupPr>
          <m:e>
            <m:r>
              <w:rPr>
                <w:rFonts w:ascii="Cambria Math" w:hAnsi="Cambria Math" w:cs="Times"/>
                <w:szCs w:val="24"/>
              </w:rPr>
              <m:t>σ</m:t>
            </m:r>
          </m:e>
          <m:sub>
            <m:r>
              <w:rPr>
                <w:rFonts w:ascii="Cambria Math" w:hAnsi="Cambria Math" w:cs="Times"/>
                <w:szCs w:val="24"/>
              </w:rPr>
              <m:t>ferr</m:t>
            </m:r>
          </m:sub>
          <m:sup>
            <m:r>
              <w:rPr>
                <w:rFonts w:ascii="Cambria Math" w:hAnsi="Cambria Math" w:cs="Times"/>
                <w:szCs w:val="24"/>
              </w:rPr>
              <m:t>2</m:t>
            </m:r>
          </m:sup>
        </m:sSubSup>
        <m:r>
          <w:rPr>
            <w:rFonts w:ascii="Cambria Math" w:hAnsi="Cambria Math" w:cs="Times"/>
            <w:szCs w:val="24"/>
          </w:rPr>
          <m:t>/</m:t>
        </m:r>
        <m:sSubSup>
          <m:sSubSupPr>
            <m:ctrlPr>
              <w:rPr>
                <w:rFonts w:ascii="Cambria Math" w:hAnsi="Cambria Math" w:cs="Times"/>
                <w:i/>
                <w:szCs w:val="24"/>
              </w:rPr>
            </m:ctrlPr>
          </m:sSubSupPr>
          <m:e>
            <m:r>
              <w:rPr>
                <w:rFonts w:ascii="Cambria Math" w:hAnsi="Cambria Math" w:cs="Times"/>
                <w:szCs w:val="24"/>
              </w:rPr>
              <m:t>σ</m:t>
            </m:r>
          </m:e>
          <m:sub>
            <m:r>
              <w:rPr>
                <w:rFonts w:ascii="Cambria Math" w:hAnsi="Cambria Math" w:cs="Times"/>
                <w:szCs w:val="24"/>
              </w:rPr>
              <m:t>anom</m:t>
            </m:r>
          </m:sub>
          <m:sup>
            <m:r>
              <w:rPr>
                <w:rFonts w:ascii="Cambria Math" w:hAnsi="Cambria Math" w:cs="Times"/>
                <w:szCs w:val="24"/>
              </w:rPr>
              <m:t>2</m:t>
            </m:r>
          </m:sup>
        </m:sSubSup>
      </m:oMath>
      <w:r w:rsidR="00CA6745">
        <w:rPr>
          <w:rFonts w:ascii="Calibri" w:hAnsi="Calibri" w:cs="Calibri"/>
          <w:szCs w:val="24"/>
        </w:rPr>
        <w:t>.</w:t>
      </w:r>
    </w:p>
    <w:p w14:paraId="3AB72E58" w14:textId="77777777" w:rsidR="00CA6745" w:rsidRPr="00B40C68" w:rsidRDefault="00CA6745" w:rsidP="00CA674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079CC79" w14:textId="77777777" w:rsidR="00CA6745" w:rsidRDefault="00CA6745" w:rsidP="00CA6745">
      <w:pPr>
        <w:rPr>
          <w:rFonts w:ascii="Myriad Pro" w:hAnsi="Myriad Pro"/>
          <w:b/>
          <w:szCs w:val="24"/>
        </w:rPr>
      </w:pPr>
    </w:p>
    <w:p w14:paraId="6A9BFEF5" w14:textId="77777777" w:rsidR="00CA6745" w:rsidRPr="00CA6745" w:rsidRDefault="00CA6745" w:rsidP="00203987">
      <w:pPr>
        <w:spacing w:before="100" w:beforeAutospacing="1" w:after="100" w:afterAutospacing="1"/>
        <w:rPr>
          <w:szCs w:val="24"/>
        </w:rPr>
      </w:pPr>
    </w:p>
    <w:p w14:paraId="2CDCCB5A" w14:textId="16A9EB10" w:rsidR="00203987" w:rsidRDefault="00E76C33" w:rsidP="008D575A">
      <w:pPr>
        <w:rPr>
          <w:rFonts w:ascii="Myriad Pro" w:hAnsi="Myriad Pro"/>
          <w:b/>
          <w:szCs w:val="24"/>
        </w:rPr>
      </w:pPr>
      <w:r>
        <w:rPr>
          <w:rFonts w:ascii="Myriad Pro" w:hAnsi="Myriad Pro"/>
          <w:b/>
          <w:noProof/>
          <w:szCs w:val="24"/>
        </w:rPr>
        <w:drawing>
          <wp:inline distT="0" distB="0" distL="0" distR="0" wp14:anchorId="5A12EF60" wp14:editId="0149DBC6">
            <wp:extent cx="3815046" cy="2400300"/>
            <wp:effectExtent l="0" t="0" r="0" b="0"/>
            <wp:docPr id="2" name="Picture 2" descr="Macintosh HD:Users:aapetty:GitRepos:BitBucket:reports:MELT_PREDICTION:Figures:FigureS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apetty:GitRepos:BitBucket:reports:MELT_PREDICTION:Figures:FigureS1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72" cy="240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DD41" w14:textId="4BB3B391" w:rsidR="00E76C33" w:rsidRPr="008D575A" w:rsidRDefault="0035176C" w:rsidP="008D575A">
      <w:pPr>
        <w:pStyle w:val="SMHeading"/>
        <w:spacing w:before="0" w:after="0"/>
      </w:pPr>
      <w:r w:rsidRPr="008D575A">
        <w:t xml:space="preserve">Figure S1 . </w:t>
      </w:r>
      <w:r w:rsidRPr="008D575A">
        <w:rPr>
          <w:b w:val="0"/>
        </w:rPr>
        <w:t xml:space="preserve">As in Figure 2, but for the May sea ice concentration </w:t>
      </w:r>
      <w:r w:rsidR="00FB45CE" w:rsidRPr="008D575A">
        <w:rPr>
          <w:b w:val="0"/>
        </w:rPr>
        <w:t xml:space="preserve">(SIC), </w:t>
      </w:r>
      <w:r w:rsidR="00DA05F5" w:rsidRPr="008D575A">
        <w:rPr>
          <w:b w:val="0"/>
        </w:rPr>
        <w:t>melt onset (</w:t>
      </w:r>
      <w:r w:rsidR="00203987" w:rsidRPr="008D575A">
        <w:rPr>
          <w:b w:val="0"/>
        </w:rPr>
        <w:t xml:space="preserve">MO, </w:t>
      </w:r>
      <w:r w:rsidR="00DA05F5" w:rsidRPr="008D575A">
        <w:rPr>
          <w:b w:val="0"/>
        </w:rPr>
        <w:t>day 151)</w:t>
      </w:r>
      <w:r w:rsidR="001A6968" w:rsidRPr="008D575A">
        <w:rPr>
          <w:b w:val="0"/>
        </w:rPr>
        <w:t>, and melt pond (</w:t>
      </w:r>
      <w:r w:rsidR="00203987" w:rsidRPr="008D575A">
        <w:rPr>
          <w:b w:val="0"/>
        </w:rPr>
        <w:t>MP</w:t>
      </w:r>
      <w:r w:rsidR="008E2296" w:rsidRPr="008D575A">
        <w:rPr>
          <w:b w:val="0"/>
        </w:rPr>
        <w:t>, May 1</w:t>
      </w:r>
      <w:r w:rsidR="008E2296" w:rsidRPr="008D575A">
        <w:rPr>
          <w:b w:val="0"/>
          <w:vertAlign w:val="superscript"/>
        </w:rPr>
        <w:t>st</w:t>
      </w:r>
      <w:r w:rsidR="008E2296" w:rsidRPr="008D575A">
        <w:rPr>
          <w:b w:val="0"/>
        </w:rPr>
        <w:t>- 31</w:t>
      </w:r>
      <w:r w:rsidR="008E2296" w:rsidRPr="008D575A">
        <w:rPr>
          <w:b w:val="0"/>
          <w:vertAlign w:val="superscript"/>
        </w:rPr>
        <w:t>st</w:t>
      </w:r>
      <w:r w:rsidR="008E2296" w:rsidRPr="008D575A">
        <w:rPr>
          <w:b w:val="0"/>
        </w:rPr>
        <w:t>)</w:t>
      </w:r>
      <w:r w:rsidRPr="008D575A">
        <w:rPr>
          <w:b w:val="0"/>
        </w:rPr>
        <w:t xml:space="preserve"> forecasts. </w:t>
      </w:r>
      <w:r w:rsidRPr="008D575A">
        <w:t xml:space="preserve"> </w:t>
      </w:r>
    </w:p>
    <w:p w14:paraId="3FA5E94B" w14:textId="77777777" w:rsidR="00E76C33" w:rsidRDefault="00E76C33" w:rsidP="00E76C33">
      <w:pPr>
        <w:pStyle w:val="SMHeading"/>
        <w:spacing w:before="0"/>
        <w:rPr>
          <w:rFonts w:ascii="Myriad Pro" w:hAnsi="Myriad Pro"/>
          <w:sz w:val="22"/>
          <w:szCs w:val="22"/>
        </w:rPr>
      </w:pPr>
    </w:p>
    <w:p w14:paraId="5B946F87" w14:textId="77777777" w:rsidR="008D575A" w:rsidRDefault="008D575A" w:rsidP="00E76C33">
      <w:pPr>
        <w:pStyle w:val="SMHeading"/>
        <w:spacing w:before="0"/>
        <w:rPr>
          <w:rFonts w:ascii="Myriad Pro" w:hAnsi="Myriad Pro"/>
          <w:sz w:val="22"/>
          <w:szCs w:val="22"/>
        </w:rPr>
      </w:pPr>
    </w:p>
    <w:p w14:paraId="126D7F00" w14:textId="170363AC" w:rsidR="00017FC3" w:rsidRPr="00795C81" w:rsidRDefault="00795C81" w:rsidP="00795C81">
      <w:pPr>
        <w:pStyle w:val="SMcaption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noProof/>
          <w:sz w:val="22"/>
          <w:szCs w:val="22"/>
        </w:rPr>
        <w:drawing>
          <wp:inline distT="0" distB="0" distL="0" distR="0" wp14:anchorId="3619C182" wp14:editId="65996A0B">
            <wp:extent cx="3538436" cy="3839624"/>
            <wp:effectExtent l="0" t="0" r="0" b="0"/>
            <wp:docPr id="3" name="Picture 3" descr="Macintosh HD:Users:aapetty:GitRepos:BitBucket:reports:MELT_PREDICTION:Figures:FigureS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apetty:GitRepos:BitBucket:reports:MELT_PREDICTION:Figures:FigureS2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36" cy="38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D415" w14:textId="48C90787" w:rsidR="00017FC3" w:rsidRPr="00A16D2D" w:rsidRDefault="00017FC3" w:rsidP="00017FC3">
      <w:pPr>
        <w:pStyle w:val="Caption"/>
        <w:widowControl w:val="0"/>
        <w:ind w:right="270"/>
        <w:contextualSpacing/>
        <w:rPr>
          <w:b w:val="0"/>
          <w:color w:val="FF0000"/>
          <w:sz w:val="24"/>
          <w:szCs w:val="24"/>
        </w:rPr>
      </w:pPr>
      <w:r w:rsidRPr="00B16440">
        <w:rPr>
          <w:color w:val="000000"/>
          <w:sz w:val="24"/>
          <w:szCs w:val="24"/>
        </w:rPr>
        <w:t xml:space="preserve">Figure </w:t>
      </w:r>
      <w:r w:rsidR="00E76C33">
        <w:rPr>
          <w:color w:val="000000"/>
          <w:sz w:val="24"/>
          <w:szCs w:val="24"/>
        </w:rPr>
        <w:t>S2</w:t>
      </w:r>
      <w:r w:rsidRPr="00B16440">
        <w:rPr>
          <w:color w:val="000000"/>
          <w:sz w:val="24"/>
          <w:szCs w:val="24"/>
        </w:rPr>
        <w:t xml:space="preserve">: </w:t>
      </w:r>
      <w:r w:rsidRPr="00895B7A">
        <w:rPr>
          <w:b w:val="0"/>
          <w:color w:val="000000"/>
          <w:sz w:val="24"/>
          <w:szCs w:val="24"/>
        </w:rPr>
        <w:t>Forecast skill for the various forecast models as a function of forecast month for (a) a</w:t>
      </w:r>
      <w:r w:rsidR="00795C81">
        <w:rPr>
          <w:b w:val="0"/>
          <w:color w:val="000000"/>
          <w:sz w:val="24"/>
          <w:szCs w:val="24"/>
        </w:rPr>
        <w:t>ll years of forecasts (1985-2016</w:t>
      </w:r>
      <w:r w:rsidRPr="00895B7A">
        <w:rPr>
          <w:b w:val="0"/>
          <w:color w:val="000000"/>
          <w:sz w:val="24"/>
          <w:szCs w:val="24"/>
        </w:rPr>
        <w:t xml:space="preserve">), and (b) </w:t>
      </w:r>
      <w:r w:rsidR="00795C81">
        <w:rPr>
          <w:b w:val="0"/>
          <w:color w:val="000000"/>
          <w:sz w:val="24"/>
          <w:szCs w:val="24"/>
        </w:rPr>
        <w:t>recent forecast years (2008-2016</w:t>
      </w:r>
      <w:r w:rsidRPr="00895B7A">
        <w:rPr>
          <w:b w:val="0"/>
          <w:color w:val="000000"/>
          <w:sz w:val="24"/>
          <w:szCs w:val="24"/>
        </w:rPr>
        <w:t>). SIC: sea ice</w:t>
      </w:r>
      <w:r>
        <w:rPr>
          <w:b w:val="0"/>
          <w:color w:val="000000"/>
          <w:sz w:val="24"/>
          <w:szCs w:val="24"/>
        </w:rPr>
        <w:t xml:space="preserve"> concentration, MO: melt onset</w:t>
      </w:r>
      <w:r w:rsidRPr="00895B7A">
        <w:rPr>
          <w:b w:val="0"/>
          <w:color w:val="000000"/>
          <w:sz w:val="24"/>
          <w:szCs w:val="24"/>
        </w:rPr>
        <w:t xml:space="preserve">, MP: melt pond model. The triangles </w:t>
      </w:r>
      <w:r>
        <w:rPr>
          <w:b w:val="0"/>
          <w:color w:val="000000"/>
          <w:sz w:val="24"/>
          <w:szCs w:val="24"/>
        </w:rPr>
        <w:t xml:space="preserve">(squares) </w:t>
      </w:r>
      <w:r w:rsidRPr="00895B7A">
        <w:rPr>
          <w:b w:val="0"/>
          <w:color w:val="000000"/>
          <w:sz w:val="24"/>
          <w:szCs w:val="24"/>
        </w:rPr>
        <w:t xml:space="preserve">indicate the multivariate forecast model skill using </w:t>
      </w:r>
      <w:r>
        <w:rPr>
          <w:b w:val="0"/>
          <w:color w:val="000000"/>
          <w:sz w:val="24"/>
          <w:szCs w:val="24"/>
        </w:rPr>
        <w:t xml:space="preserve">two (three) of </w:t>
      </w:r>
      <w:r>
        <w:rPr>
          <w:b w:val="0"/>
          <w:color w:val="000000"/>
          <w:sz w:val="24"/>
          <w:szCs w:val="24"/>
        </w:rPr>
        <w:lastRenderedPageBreak/>
        <w:t>the SIC/MO/MP datasets.</w:t>
      </w:r>
    </w:p>
    <w:p w14:paraId="60ADDC21" w14:textId="77777777" w:rsidR="00017FC3" w:rsidRDefault="00017FC3" w:rsidP="00477182">
      <w:pPr>
        <w:pStyle w:val="SMcaption"/>
        <w:rPr>
          <w:rFonts w:ascii="Myriad Pro" w:hAnsi="Myriad Pro"/>
          <w:sz w:val="22"/>
          <w:szCs w:val="22"/>
        </w:rPr>
      </w:pPr>
    </w:p>
    <w:p w14:paraId="036F2DD4" w14:textId="4172BE91" w:rsidR="008E2296" w:rsidRDefault="00774910" w:rsidP="00B9440A">
      <w:pPr>
        <w:pStyle w:val="SMcaption"/>
      </w:pPr>
      <w:r>
        <w:rPr>
          <w:noProof/>
        </w:rPr>
        <w:drawing>
          <wp:inline distT="0" distB="0" distL="0" distR="0" wp14:anchorId="76988C5F" wp14:editId="026E13BB">
            <wp:extent cx="2400300" cy="2400300"/>
            <wp:effectExtent l="0" t="0" r="12700" b="12700"/>
            <wp:docPr id="5" name="Picture 5" descr="Macintosh HD:Users:aapetty:GitRepos:BitBucket:reports:MELT_PREDICTION:Figures:Figur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apetty:GitRepos:BitBucket:reports:MELT_PREDICTION:Figures:Figure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66F1" w14:textId="2BB9FCBC" w:rsidR="00D52F0B" w:rsidRPr="00A16D2D" w:rsidRDefault="00D52F0B" w:rsidP="00D52F0B">
      <w:pPr>
        <w:pStyle w:val="Caption"/>
        <w:widowControl w:val="0"/>
        <w:ind w:right="270"/>
        <w:contextualSpacing/>
        <w:rPr>
          <w:b w:val="0"/>
          <w:color w:val="FF0000"/>
          <w:sz w:val="24"/>
          <w:szCs w:val="24"/>
        </w:rPr>
      </w:pPr>
      <w:r w:rsidRPr="00B16440">
        <w:rPr>
          <w:color w:val="000000"/>
          <w:sz w:val="24"/>
          <w:szCs w:val="24"/>
        </w:rPr>
        <w:t xml:space="preserve">Figure </w:t>
      </w:r>
      <w:r>
        <w:rPr>
          <w:color w:val="000000"/>
          <w:sz w:val="24"/>
          <w:szCs w:val="24"/>
        </w:rPr>
        <w:t>S3</w:t>
      </w:r>
      <w:r w:rsidRPr="00B16440">
        <w:rPr>
          <w:color w:val="000000"/>
          <w:sz w:val="24"/>
          <w:szCs w:val="24"/>
        </w:rPr>
        <w:t xml:space="preserve">: </w:t>
      </w:r>
      <w:r>
        <w:rPr>
          <w:b w:val="0"/>
          <w:color w:val="000000"/>
          <w:sz w:val="24"/>
          <w:szCs w:val="24"/>
        </w:rPr>
        <w:t xml:space="preserve">Alaskan region used to produce </w:t>
      </w:r>
      <w:r w:rsidR="00774910">
        <w:rPr>
          <w:b w:val="0"/>
          <w:color w:val="000000"/>
          <w:sz w:val="24"/>
          <w:szCs w:val="24"/>
        </w:rPr>
        <w:t>the regional forecast shown in Figure 7</w:t>
      </w:r>
      <w:r>
        <w:rPr>
          <w:b w:val="0"/>
          <w:color w:val="000000"/>
          <w:sz w:val="24"/>
          <w:szCs w:val="24"/>
        </w:rPr>
        <w:t xml:space="preserve"> is highlighted in purple. Region includes the Beaufort, Chukchi and Bering seas, as defined by the NSIDC Arctic region mask (</w:t>
      </w:r>
      <w:r w:rsidR="003A674F" w:rsidRPr="003A674F">
        <w:rPr>
          <w:b w:val="0"/>
          <w:color w:val="000000"/>
          <w:sz w:val="24"/>
          <w:szCs w:val="24"/>
        </w:rPr>
        <w:t>http://nsidc.org/data/polar-stereo/tools_masks.html</w:t>
      </w:r>
      <w:r>
        <w:rPr>
          <w:b w:val="0"/>
          <w:color w:val="000000"/>
          <w:sz w:val="24"/>
          <w:szCs w:val="24"/>
        </w:rPr>
        <w:t>).</w:t>
      </w:r>
      <w:r w:rsidR="003867E7">
        <w:rPr>
          <w:b w:val="0"/>
          <w:color w:val="000000"/>
          <w:sz w:val="24"/>
          <w:szCs w:val="24"/>
        </w:rPr>
        <w:t xml:space="preserve"> </w:t>
      </w:r>
      <w:r w:rsidR="006D257D">
        <w:rPr>
          <w:b w:val="0"/>
          <w:color w:val="000000"/>
          <w:sz w:val="24"/>
          <w:szCs w:val="24"/>
        </w:rPr>
        <w:t xml:space="preserve">Note that </w:t>
      </w:r>
      <w:r w:rsidR="003A674F">
        <w:rPr>
          <w:b w:val="0"/>
          <w:color w:val="000000"/>
          <w:sz w:val="24"/>
          <w:szCs w:val="24"/>
        </w:rPr>
        <w:t xml:space="preserve">the </w:t>
      </w:r>
      <w:r w:rsidR="006D257D">
        <w:rPr>
          <w:b w:val="0"/>
          <w:color w:val="000000"/>
          <w:sz w:val="24"/>
          <w:szCs w:val="24"/>
        </w:rPr>
        <w:t xml:space="preserve">September </w:t>
      </w:r>
      <w:r w:rsidR="00CA6745">
        <w:rPr>
          <w:b w:val="0"/>
          <w:color w:val="000000"/>
          <w:sz w:val="24"/>
          <w:szCs w:val="24"/>
        </w:rPr>
        <w:t xml:space="preserve">Arctic </w:t>
      </w:r>
      <w:r w:rsidR="006D257D">
        <w:rPr>
          <w:b w:val="0"/>
          <w:color w:val="000000"/>
          <w:sz w:val="24"/>
          <w:szCs w:val="24"/>
        </w:rPr>
        <w:t xml:space="preserve">sea ice </w:t>
      </w:r>
      <w:r w:rsidR="003A674F">
        <w:rPr>
          <w:b w:val="0"/>
          <w:color w:val="000000"/>
          <w:sz w:val="24"/>
          <w:szCs w:val="24"/>
        </w:rPr>
        <w:t xml:space="preserve">edge </w:t>
      </w:r>
      <w:r w:rsidR="006D257D">
        <w:rPr>
          <w:b w:val="0"/>
          <w:color w:val="000000"/>
          <w:sz w:val="24"/>
          <w:szCs w:val="24"/>
        </w:rPr>
        <w:t xml:space="preserve">rarely extends into the </w:t>
      </w:r>
      <w:r w:rsidR="00DD5F42">
        <w:rPr>
          <w:b w:val="0"/>
          <w:color w:val="000000"/>
          <w:sz w:val="24"/>
          <w:szCs w:val="24"/>
        </w:rPr>
        <w:t xml:space="preserve">Bering </w:t>
      </w:r>
      <w:r w:rsidR="006D257D">
        <w:rPr>
          <w:b w:val="0"/>
          <w:color w:val="000000"/>
          <w:sz w:val="24"/>
          <w:szCs w:val="24"/>
        </w:rPr>
        <w:t>Sea region, so this provided only a negligible impact on the Alaskan sea ice extent estimate.</w:t>
      </w:r>
    </w:p>
    <w:p w14:paraId="5819C243" w14:textId="77777777" w:rsidR="00D52F0B" w:rsidRPr="00015F74" w:rsidRDefault="00D52F0B" w:rsidP="00B9440A">
      <w:pPr>
        <w:pStyle w:val="SMcaption"/>
      </w:pPr>
    </w:p>
    <w:sectPr w:rsidR="00D52F0B" w:rsidRPr="00015F74" w:rsidSect="00F125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E2513" w14:textId="77777777" w:rsidR="000E79EA" w:rsidRDefault="000E79EA">
      <w:r>
        <w:separator/>
      </w:r>
    </w:p>
  </w:endnote>
  <w:endnote w:type="continuationSeparator" w:id="0">
    <w:p w14:paraId="0B02DA45" w14:textId="77777777" w:rsidR="000E79EA" w:rsidRDefault="000E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55485" w14:textId="77777777" w:rsidR="00403205" w:rsidRDefault="004032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5440F" w14:textId="0DC368C9" w:rsidR="00403205" w:rsidRDefault="0040320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C67B6">
      <w:rPr>
        <w:noProof/>
      </w:rPr>
      <w:t>1</w:t>
    </w:r>
    <w:r>
      <w:fldChar w:fldCharType="end"/>
    </w:r>
  </w:p>
  <w:p w14:paraId="4BB0D8E7" w14:textId="77777777" w:rsidR="00403205" w:rsidRDefault="004032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7144E" w14:textId="77777777" w:rsidR="00403205" w:rsidRDefault="00403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CC528" w14:textId="77777777" w:rsidR="000E79EA" w:rsidRDefault="000E79EA">
      <w:r>
        <w:separator/>
      </w:r>
    </w:p>
  </w:footnote>
  <w:footnote w:type="continuationSeparator" w:id="0">
    <w:p w14:paraId="38899CF1" w14:textId="77777777" w:rsidR="000E79EA" w:rsidRDefault="000E7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A16ED" w14:textId="77777777" w:rsidR="00403205" w:rsidRDefault="004032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4D4D0" w14:textId="77777777" w:rsidR="00403205" w:rsidRPr="005001AC" w:rsidRDefault="00403205" w:rsidP="005001AC">
    <w:pPr>
      <w:jc w:val="right"/>
      <w:rPr>
        <w:sz w:val="20"/>
      </w:rPr>
    </w:pPr>
  </w:p>
  <w:p w14:paraId="768504C1" w14:textId="77777777" w:rsidR="00403205" w:rsidRDefault="004032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D7B08" w14:textId="77777777" w:rsidR="00403205" w:rsidRDefault="00403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0FCA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F"/>
    <w:rsid w:val="00015F74"/>
    <w:rsid w:val="00017FC3"/>
    <w:rsid w:val="00043571"/>
    <w:rsid w:val="00065EBD"/>
    <w:rsid w:val="0007056B"/>
    <w:rsid w:val="00083B44"/>
    <w:rsid w:val="000850DC"/>
    <w:rsid w:val="00094365"/>
    <w:rsid w:val="000B2E64"/>
    <w:rsid w:val="000C2771"/>
    <w:rsid w:val="000E1E70"/>
    <w:rsid w:val="000E79EA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44CC9"/>
    <w:rsid w:val="0016337A"/>
    <w:rsid w:val="00164269"/>
    <w:rsid w:val="00166B1C"/>
    <w:rsid w:val="00170888"/>
    <w:rsid w:val="001966FD"/>
    <w:rsid w:val="00197826"/>
    <w:rsid w:val="001A1BDE"/>
    <w:rsid w:val="001A6968"/>
    <w:rsid w:val="001C1A3E"/>
    <w:rsid w:val="001C7B4E"/>
    <w:rsid w:val="001D72F9"/>
    <w:rsid w:val="001F0876"/>
    <w:rsid w:val="001F167C"/>
    <w:rsid w:val="001F5E91"/>
    <w:rsid w:val="0020183F"/>
    <w:rsid w:val="00203987"/>
    <w:rsid w:val="002077B9"/>
    <w:rsid w:val="00221C70"/>
    <w:rsid w:val="002251AF"/>
    <w:rsid w:val="00227D86"/>
    <w:rsid w:val="00227EDA"/>
    <w:rsid w:val="00243B68"/>
    <w:rsid w:val="00262D72"/>
    <w:rsid w:val="002800B6"/>
    <w:rsid w:val="002807A6"/>
    <w:rsid w:val="002A05DD"/>
    <w:rsid w:val="002B35D4"/>
    <w:rsid w:val="002C030F"/>
    <w:rsid w:val="002C42B4"/>
    <w:rsid w:val="002F3966"/>
    <w:rsid w:val="00320E2C"/>
    <w:rsid w:val="00331D75"/>
    <w:rsid w:val="0035176C"/>
    <w:rsid w:val="00355362"/>
    <w:rsid w:val="00363E44"/>
    <w:rsid w:val="003768B9"/>
    <w:rsid w:val="003867E7"/>
    <w:rsid w:val="00395E86"/>
    <w:rsid w:val="003A2FD8"/>
    <w:rsid w:val="003A674F"/>
    <w:rsid w:val="003B40E6"/>
    <w:rsid w:val="003C007A"/>
    <w:rsid w:val="003C0E25"/>
    <w:rsid w:val="003C1F8A"/>
    <w:rsid w:val="003E1980"/>
    <w:rsid w:val="003F6E14"/>
    <w:rsid w:val="00403205"/>
    <w:rsid w:val="00405336"/>
    <w:rsid w:val="0041161B"/>
    <w:rsid w:val="004568BC"/>
    <w:rsid w:val="004571D5"/>
    <w:rsid w:val="0046150B"/>
    <w:rsid w:val="00462F1B"/>
    <w:rsid w:val="0046356B"/>
    <w:rsid w:val="00477182"/>
    <w:rsid w:val="004779CB"/>
    <w:rsid w:val="00481118"/>
    <w:rsid w:val="00491878"/>
    <w:rsid w:val="004944BC"/>
    <w:rsid w:val="004B2481"/>
    <w:rsid w:val="004C3DB5"/>
    <w:rsid w:val="004D2A8C"/>
    <w:rsid w:val="004E42D8"/>
    <w:rsid w:val="004E7BA2"/>
    <w:rsid w:val="004F7EDF"/>
    <w:rsid w:val="005001AC"/>
    <w:rsid w:val="00511B90"/>
    <w:rsid w:val="00517016"/>
    <w:rsid w:val="00527D71"/>
    <w:rsid w:val="00527D84"/>
    <w:rsid w:val="005314B5"/>
    <w:rsid w:val="005330AE"/>
    <w:rsid w:val="0054432F"/>
    <w:rsid w:val="00552C23"/>
    <w:rsid w:val="005607DD"/>
    <w:rsid w:val="00572DFF"/>
    <w:rsid w:val="005A558C"/>
    <w:rsid w:val="005B186E"/>
    <w:rsid w:val="005C0EB8"/>
    <w:rsid w:val="005C3A24"/>
    <w:rsid w:val="005C3B38"/>
    <w:rsid w:val="005C6651"/>
    <w:rsid w:val="005D6D71"/>
    <w:rsid w:val="005E0D8A"/>
    <w:rsid w:val="005E28F8"/>
    <w:rsid w:val="005E6513"/>
    <w:rsid w:val="00611F9E"/>
    <w:rsid w:val="006201CF"/>
    <w:rsid w:val="006237D4"/>
    <w:rsid w:val="00631BC0"/>
    <w:rsid w:val="00651114"/>
    <w:rsid w:val="006622CF"/>
    <w:rsid w:val="0066722B"/>
    <w:rsid w:val="00670299"/>
    <w:rsid w:val="0068469F"/>
    <w:rsid w:val="00691985"/>
    <w:rsid w:val="00692E45"/>
    <w:rsid w:val="006962C1"/>
    <w:rsid w:val="006A1B64"/>
    <w:rsid w:val="006B03AD"/>
    <w:rsid w:val="006D257D"/>
    <w:rsid w:val="006F602A"/>
    <w:rsid w:val="007108F5"/>
    <w:rsid w:val="00713AF2"/>
    <w:rsid w:val="00713E5B"/>
    <w:rsid w:val="00714C4C"/>
    <w:rsid w:val="007402FC"/>
    <w:rsid w:val="007411A1"/>
    <w:rsid w:val="007563F2"/>
    <w:rsid w:val="00760D8E"/>
    <w:rsid w:val="00764008"/>
    <w:rsid w:val="0076511E"/>
    <w:rsid w:val="00774910"/>
    <w:rsid w:val="00795C81"/>
    <w:rsid w:val="007C67B6"/>
    <w:rsid w:val="007C7F55"/>
    <w:rsid w:val="00807D35"/>
    <w:rsid w:val="008115D9"/>
    <w:rsid w:val="00825950"/>
    <w:rsid w:val="00853BB3"/>
    <w:rsid w:val="00880A88"/>
    <w:rsid w:val="008817FB"/>
    <w:rsid w:val="00885C9B"/>
    <w:rsid w:val="008927D0"/>
    <w:rsid w:val="008D575A"/>
    <w:rsid w:val="008D5D2A"/>
    <w:rsid w:val="008E2296"/>
    <w:rsid w:val="008E2CF1"/>
    <w:rsid w:val="008F08DC"/>
    <w:rsid w:val="008F429D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87620"/>
    <w:rsid w:val="009909C3"/>
    <w:rsid w:val="009A5287"/>
    <w:rsid w:val="009B2AC5"/>
    <w:rsid w:val="009B3839"/>
    <w:rsid w:val="009B7984"/>
    <w:rsid w:val="009F4BED"/>
    <w:rsid w:val="009F7D93"/>
    <w:rsid w:val="00A1672A"/>
    <w:rsid w:val="00A16D3C"/>
    <w:rsid w:val="00A276DF"/>
    <w:rsid w:val="00A3084A"/>
    <w:rsid w:val="00A3403B"/>
    <w:rsid w:val="00A50033"/>
    <w:rsid w:val="00A51A12"/>
    <w:rsid w:val="00A627D4"/>
    <w:rsid w:val="00A74DA2"/>
    <w:rsid w:val="00A92733"/>
    <w:rsid w:val="00AA76F3"/>
    <w:rsid w:val="00AC7DA6"/>
    <w:rsid w:val="00AD1848"/>
    <w:rsid w:val="00AD499C"/>
    <w:rsid w:val="00AF0711"/>
    <w:rsid w:val="00B21E5C"/>
    <w:rsid w:val="00B30334"/>
    <w:rsid w:val="00B3147F"/>
    <w:rsid w:val="00B36869"/>
    <w:rsid w:val="00B40C68"/>
    <w:rsid w:val="00B43B31"/>
    <w:rsid w:val="00B47CFA"/>
    <w:rsid w:val="00B57F00"/>
    <w:rsid w:val="00B626CB"/>
    <w:rsid w:val="00B77E40"/>
    <w:rsid w:val="00B82C22"/>
    <w:rsid w:val="00B93DBA"/>
    <w:rsid w:val="00B9440A"/>
    <w:rsid w:val="00B952C1"/>
    <w:rsid w:val="00B968D7"/>
    <w:rsid w:val="00BA3953"/>
    <w:rsid w:val="00BB2D2A"/>
    <w:rsid w:val="00BD1E98"/>
    <w:rsid w:val="00BD58CF"/>
    <w:rsid w:val="00BF1BEB"/>
    <w:rsid w:val="00BF1BF9"/>
    <w:rsid w:val="00C04CC1"/>
    <w:rsid w:val="00C071FC"/>
    <w:rsid w:val="00C10A26"/>
    <w:rsid w:val="00C11906"/>
    <w:rsid w:val="00C22C02"/>
    <w:rsid w:val="00C27F6F"/>
    <w:rsid w:val="00C30E83"/>
    <w:rsid w:val="00C50C6D"/>
    <w:rsid w:val="00C600D9"/>
    <w:rsid w:val="00C634D7"/>
    <w:rsid w:val="00C73E09"/>
    <w:rsid w:val="00C914E0"/>
    <w:rsid w:val="00CA6745"/>
    <w:rsid w:val="00CC1384"/>
    <w:rsid w:val="00CC7065"/>
    <w:rsid w:val="00CD1480"/>
    <w:rsid w:val="00CD3720"/>
    <w:rsid w:val="00CE6EAA"/>
    <w:rsid w:val="00CF1848"/>
    <w:rsid w:val="00CF5C2F"/>
    <w:rsid w:val="00D04BCF"/>
    <w:rsid w:val="00D143D9"/>
    <w:rsid w:val="00D4372A"/>
    <w:rsid w:val="00D50197"/>
    <w:rsid w:val="00D52F0B"/>
    <w:rsid w:val="00D60BB0"/>
    <w:rsid w:val="00D653F6"/>
    <w:rsid w:val="00D65708"/>
    <w:rsid w:val="00D8159F"/>
    <w:rsid w:val="00DA05F5"/>
    <w:rsid w:val="00DD1D04"/>
    <w:rsid w:val="00DD5F42"/>
    <w:rsid w:val="00DD79D7"/>
    <w:rsid w:val="00DE7A6B"/>
    <w:rsid w:val="00E20431"/>
    <w:rsid w:val="00E257C8"/>
    <w:rsid w:val="00E40896"/>
    <w:rsid w:val="00E43D2D"/>
    <w:rsid w:val="00E449CB"/>
    <w:rsid w:val="00E63760"/>
    <w:rsid w:val="00E64049"/>
    <w:rsid w:val="00E75EC4"/>
    <w:rsid w:val="00E76C33"/>
    <w:rsid w:val="00E9773B"/>
    <w:rsid w:val="00EB7ED4"/>
    <w:rsid w:val="00EC13A3"/>
    <w:rsid w:val="00EC7C85"/>
    <w:rsid w:val="00ED69CA"/>
    <w:rsid w:val="00EE35AB"/>
    <w:rsid w:val="00EF25A3"/>
    <w:rsid w:val="00F11A1C"/>
    <w:rsid w:val="00F125EE"/>
    <w:rsid w:val="00F12E98"/>
    <w:rsid w:val="00F22029"/>
    <w:rsid w:val="00F23E46"/>
    <w:rsid w:val="00F34092"/>
    <w:rsid w:val="00F3515C"/>
    <w:rsid w:val="00F47BA3"/>
    <w:rsid w:val="00F56E67"/>
    <w:rsid w:val="00F630EA"/>
    <w:rsid w:val="00F7007E"/>
    <w:rsid w:val="00F73193"/>
    <w:rsid w:val="00F74F95"/>
    <w:rsid w:val="00F80705"/>
    <w:rsid w:val="00FA1481"/>
    <w:rsid w:val="00FA4DDC"/>
    <w:rsid w:val="00FB1C42"/>
    <w:rsid w:val="00FB32EC"/>
    <w:rsid w:val="00FB45CE"/>
    <w:rsid w:val="00FC4A12"/>
    <w:rsid w:val="00FE5E0D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6B72A0"/>
  <w15:docId w15:val="{736EACD7-7BB1-4846-89F3-EC3B87EE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  <w:style w:type="paragraph" w:customStyle="1" w:styleId="Affiliation">
    <w:name w:val="Affiliation"/>
    <w:basedOn w:val="Normal"/>
    <w:qFormat/>
    <w:rsid w:val="00170888"/>
    <w:pPr>
      <w:spacing w:before="1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5765</CharactersWithSpaces>
  <SharedDoc>false</SharedDoc>
  <HLinks>
    <vt:vector size="36" baseType="variant">
      <vt:variant>
        <vt:i4>3276911</vt:i4>
      </vt:variant>
      <vt:variant>
        <vt:i4>2048</vt:i4>
      </vt:variant>
      <vt:variant>
        <vt:i4>1025</vt:i4>
      </vt:variant>
      <vt:variant>
        <vt:i4>1</vt:i4>
      </vt:variant>
      <vt:variant>
        <vt:lpwstr>agu_pubart-white_reduced</vt:lpwstr>
      </vt:variant>
      <vt:variant>
        <vt:lpwstr/>
      </vt:variant>
      <vt:variant>
        <vt:i4>4718592</vt:i4>
      </vt:variant>
      <vt:variant>
        <vt:i4>3281</vt:i4>
      </vt:variant>
      <vt:variant>
        <vt:i4>1029</vt:i4>
      </vt:variant>
      <vt:variant>
        <vt:i4>1</vt:i4>
      </vt:variant>
      <vt:variant>
        <vt:lpwstr>figureS1</vt:lpwstr>
      </vt:variant>
      <vt:variant>
        <vt:lpwstr/>
      </vt:variant>
      <vt:variant>
        <vt:i4>4915200</vt:i4>
      </vt:variant>
      <vt:variant>
        <vt:i4>3430</vt:i4>
      </vt:variant>
      <vt:variant>
        <vt:i4>1026</vt:i4>
      </vt:variant>
      <vt:variant>
        <vt:i4>1</vt:i4>
      </vt:variant>
      <vt:variant>
        <vt:lpwstr>figureS2</vt:lpwstr>
      </vt:variant>
      <vt:variant>
        <vt:lpwstr/>
      </vt:variant>
      <vt:variant>
        <vt:i4>7077904</vt:i4>
      </vt:variant>
      <vt:variant>
        <vt:i4>3706</vt:i4>
      </vt:variant>
      <vt:variant>
        <vt:i4>1027</vt:i4>
      </vt:variant>
      <vt:variant>
        <vt:i4>1</vt:i4>
      </vt:variant>
      <vt:variant>
        <vt:lpwstr>skill_monthsALL0</vt:lpwstr>
      </vt:variant>
      <vt:variant>
        <vt:lpwstr/>
      </vt:variant>
      <vt:variant>
        <vt:i4>5046272</vt:i4>
      </vt:variant>
      <vt:variant>
        <vt:i4>4067</vt:i4>
      </vt:variant>
      <vt:variant>
        <vt:i4>1028</vt:i4>
      </vt:variant>
      <vt:variant>
        <vt:i4>1</vt:i4>
      </vt:variant>
      <vt:variant>
        <vt:lpwstr>figureS4</vt:lpwstr>
      </vt:variant>
      <vt:variant>
        <vt:lpwstr/>
      </vt:variant>
      <vt:variant>
        <vt:i4>4980736</vt:i4>
      </vt:variant>
      <vt:variant>
        <vt:i4>4462</vt:i4>
      </vt:variant>
      <vt:variant>
        <vt:i4>1034</vt:i4>
      </vt:variant>
      <vt:variant>
        <vt:i4>1</vt:i4>
      </vt:variant>
      <vt:variant>
        <vt:lpwstr>figureS5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Erin Syring</cp:lastModifiedBy>
  <cp:revision>2</cp:revision>
  <cp:lastPrinted>2016-10-21T16:55:00Z</cp:lastPrinted>
  <dcterms:created xsi:type="dcterms:W3CDTF">2017-01-19T14:59:00Z</dcterms:created>
  <dcterms:modified xsi:type="dcterms:W3CDTF">2017-01-19T14:59:00Z</dcterms:modified>
</cp:coreProperties>
</file>