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EduGenie — Gemini Powered Learning Assistant</w:t>
      </w:r>
    </w:p>
    <w:p>
      <w:pPr>
        <w:jc w:val="center"/>
      </w:pPr>
      <w:r>
        <w:rPr>
          <w:b/>
          <w:sz w:val="28"/>
        </w:rPr>
        <w:t>Ideation Phase — Brainstorm &amp; Idea Prioritization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Field</w:t>
            </w:r>
          </w:p>
        </w:tc>
        <w:tc>
          <w:tcPr>
            <w:tcW w:type="dxa" w:w="4968"/>
            <w:vAlign w:val="center"/>
            <w:shd w:fill="D9EAF7"/>
          </w:tcPr>
          <w:p>
            <w:r/>
            <w:r>
              <w:rPr>
                <w:b/>
                <w:sz w:val="18"/>
              </w:rPr>
              <w:t>Details</w:t>
            </w:r>
          </w:p>
        </w:tc>
      </w:tr>
      <w:tr>
        <w:tc>
          <w:tcPr>
            <w:tcW w:type="dxa" w:w="4968"/>
            <w:vAlign w:val="center"/>
          </w:tcPr>
          <w:p>
            <w:r/>
            <w:r>
              <w:rPr>
                <w:b w:val="0"/>
                <w:sz w:val="18"/>
              </w:rPr>
              <w:t>Date</w:t>
            </w:r>
          </w:p>
        </w:tc>
        <w:tc>
          <w:tcPr>
            <w:tcW w:type="dxa" w:w="4968"/>
            <w:vAlign w:val="center"/>
          </w:tcPr>
          <w:p>
            <w:r/>
            <w:r>
              <w:rPr>
                <w:b w:val="0"/>
                <w:sz w:val="18"/>
              </w:rPr>
              <w:t>21/09/2026</w:t>
            </w:r>
          </w:p>
        </w:tc>
      </w:tr>
      <w:tr>
        <w:tc>
          <w:tcPr>
            <w:tcW w:type="dxa" w:w="4968"/>
            <w:vAlign w:val="center"/>
          </w:tcPr>
          <w:p>
            <w:r/>
            <w:r>
              <w:rPr>
                <w:b w:val="0"/>
                <w:sz w:val="18"/>
              </w:rPr>
              <w:t>Team ID</w:t>
            </w:r>
          </w:p>
        </w:tc>
        <w:tc>
          <w:tcPr>
            <w:tcW w:type="dxa" w:w="4968"/>
            <w:vAlign w:val="center"/>
          </w:tcPr>
          <w:p>
            <w:r/>
            <w:r>
              <w:rPr>
                <w:b w:val="0"/>
                <w:sz w:val="18"/>
              </w:rPr>
              <w:t>SWTID-2026-4128</w:t>
            </w:r>
          </w:p>
        </w:tc>
      </w:tr>
      <w:tr>
        <w:tc>
          <w:tcPr>
            <w:tcW w:type="dxa" w:w="4968"/>
            <w:vAlign w:val="center"/>
          </w:tcPr>
          <w:p>
            <w:r/>
            <w:r>
              <w:rPr>
                <w:b w:val="0"/>
                <w:sz w:val="18"/>
              </w:rPr>
              <w:t>Project Title</w:t>
            </w:r>
          </w:p>
        </w:tc>
        <w:tc>
          <w:tcPr>
            <w:tcW w:type="dxa" w:w="4968"/>
            <w:vAlign w:val="center"/>
          </w:tcPr>
          <w:p>
            <w:r/>
            <w:r>
              <w:rPr>
                <w:b w:val="0"/>
                <w:sz w:val="18"/>
              </w:rPr>
              <w:t>EduGenie — Gemini Powered Learning Assistant</w:t>
            </w:r>
          </w:p>
        </w:tc>
      </w:tr>
      <w:tr>
        <w:tc>
          <w:tcPr>
            <w:tcW w:type="dxa" w:w="4968"/>
            <w:vAlign w:val="center"/>
          </w:tcPr>
          <w:p>
            <w:r/>
            <w:r>
              <w:rPr>
                <w:b w:val="0"/>
                <w:sz w:val="18"/>
              </w:rPr>
              <w:t>Team Size</w:t>
            </w:r>
          </w:p>
        </w:tc>
        <w:tc>
          <w:tcPr>
            <w:tcW w:type="dxa" w:w="4968"/>
            <w:vAlign w:val="center"/>
          </w:tcPr>
          <w:p>
            <w:r/>
            <w:r>
              <w:rPr>
                <w:b w:val="0"/>
                <w:sz w:val="18"/>
              </w:rPr>
              <w:t>4</w:t>
            </w:r>
          </w:p>
        </w:tc>
      </w:tr>
      <w:tr>
        <w:tc>
          <w:tcPr>
            <w:tcW w:type="dxa" w:w="4968"/>
            <w:vAlign w:val="center"/>
          </w:tcPr>
          <w:p>
            <w:r/>
            <w:r>
              <w:rPr>
                <w:b w:val="0"/>
                <w:sz w:val="18"/>
              </w:rPr>
              <w:t>Team</w:t>
            </w:r>
          </w:p>
        </w:tc>
        <w:tc>
          <w:tcPr>
            <w:tcW w:type="dxa" w:w="4968"/>
            <w:vAlign w:val="center"/>
          </w:tcPr>
          <w:p>
            <w:r/>
            <w:r>
              <w:rPr>
                <w:b w:val="0"/>
                <w:sz w:val="18"/>
              </w:rPr>
              <w:t>Team Leader: Prawin A K  |  Team Members: Suganesh Govindaraj  |  Thamaraiselvan K  |  Thamaraiselvan Eswaran</w:t>
            </w:r>
          </w:p>
        </w:tc>
      </w:tr>
    </w:tbl>
    <w:p/>
    <w:p>
      <w:pPr>
        <w:pStyle w:val="Heading1"/>
      </w:pPr>
      <w:r>
        <w:t>1. Purpose of Brainstorming</w:t>
      </w:r>
    </w:p>
    <w:p>
      <w:r>
        <w:t>The team explored education-focused software ideas that could solve common student problems while demonstrating practical use of Python, FastAPI, web development, API design, validation, and generative AI integration. Ideas were compared for usefulness, feasibility, learning value, and scope within the project timeline.</w:t>
      </w:r>
    </w:p>
    <w:p>
      <w:pPr>
        <w:pStyle w:val="Heading1"/>
      </w:pPr>
      <w:r>
        <w:t>2. Candidate Ideas</w:t>
      </w:r>
    </w:p>
    <w:p>
      <w:pPr>
        <w:pStyle w:val="ListBullet"/>
      </w:pPr>
      <w:r>
        <w:t>AI-powered learning assistant</w:t>
      </w:r>
    </w:p>
    <w:p>
      <w:pPr>
        <w:pStyle w:val="ListBullet"/>
      </w:pPr>
      <w:r>
        <w:t>Online quiz and assessment platform</w:t>
      </w:r>
    </w:p>
    <w:p>
      <w:pPr>
        <w:pStyle w:val="ListBullet"/>
      </w:pPr>
      <w:r>
        <w:t>Student assignment planner</w:t>
      </w:r>
    </w:p>
    <w:p>
      <w:pPr>
        <w:pStyle w:val="ListBullet"/>
      </w:pPr>
      <w:r>
        <w:t>Digital library and note organizer</w:t>
      </w:r>
    </w:p>
    <w:p>
      <w:pPr>
        <w:pStyle w:val="ListBullet"/>
      </w:pPr>
      <w:r>
        <w:t>Career and course recommendation portal</w:t>
      </w:r>
    </w:p>
    <w:p>
      <w:pPr>
        <w:pStyle w:val="Heading1"/>
      </w:pPr>
      <w:r>
        <w:t>3. Selected Idea</w:t>
      </w:r>
    </w:p>
    <w:p>
      <w:r>
        <w:t>The selected idea is EduGenie, a Gemini-powered learning assistant that helps students ask questions, understand topics, summarize educational passages, generate quizzes, and receive structured learning paths.</w:t>
      </w:r>
    </w:p>
    <w:p>
      <w:pPr>
        <w:pStyle w:val="Heading1"/>
      </w:pPr>
      <w:r>
        <w:t>4. Prioritization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Priority</w:t>
            </w:r>
          </w:p>
        </w:tc>
        <w:tc>
          <w:tcPr>
            <w:tcW w:type="dxa" w:w="3312"/>
            <w:vAlign w:val="center"/>
            <w:shd w:fill="D9EAF7"/>
          </w:tcPr>
          <w:p>
            <w:r/>
            <w:r>
              <w:rPr>
                <w:b/>
                <w:sz w:val="18"/>
              </w:rPr>
              <w:t>Features</w:t>
            </w:r>
          </w:p>
        </w:tc>
        <w:tc>
          <w:tcPr>
            <w:tcW w:type="dxa" w:w="3312"/>
            <w:vAlign w:val="center"/>
            <w:shd w:fill="D9EAF7"/>
          </w:tcPr>
          <w:p>
            <w:r/>
            <w:r>
              <w:rPr>
                <w:b/>
                <w:sz w:val="18"/>
              </w:rPr>
              <w:t>Reason</w:t>
            </w:r>
          </w:p>
        </w:tc>
      </w:tr>
      <w:tr>
        <w:tc>
          <w:tcPr>
            <w:tcW w:type="dxa" w:w="3312"/>
            <w:vAlign w:val="center"/>
          </w:tcPr>
          <w:p>
            <w:r/>
            <w:r>
              <w:rPr>
                <w:b w:val="0"/>
                <w:sz w:val="18"/>
              </w:rPr>
              <w:t>High</w:t>
            </w:r>
          </w:p>
        </w:tc>
        <w:tc>
          <w:tcPr>
            <w:tcW w:type="dxa" w:w="3312"/>
            <w:vAlign w:val="center"/>
          </w:tcPr>
          <w:p>
            <w:r/>
            <w:r>
              <w:rPr>
                <w:b w:val="0"/>
                <w:sz w:val="18"/>
              </w:rPr>
              <w:t>Question answering; topic explanation; summarization</w:t>
            </w:r>
          </w:p>
        </w:tc>
        <w:tc>
          <w:tcPr>
            <w:tcW w:type="dxa" w:w="3312"/>
            <w:vAlign w:val="center"/>
          </w:tcPr>
          <w:p>
            <w:r/>
            <w:r>
              <w:rPr>
                <w:b w:val="0"/>
                <w:sz w:val="18"/>
              </w:rPr>
              <w:t>Directly addresses daily learning difficulties and is feasible with Gemini</w:t>
            </w:r>
          </w:p>
        </w:tc>
      </w:tr>
      <w:tr>
        <w:tc>
          <w:tcPr>
            <w:tcW w:type="dxa" w:w="3312"/>
            <w:vAlign w:val="center"/>
          </w:tcPr>
          <w:p>
            <w:r/>
            <w:r>
              <w:rPr>
                <w:b w:val="0"/>
                <w:sz w:val="18"/>
              </w:rPr>
              <w:t>High</w:t>
            </w:r>
          </w:p>
        </w:tc>
        <w:tc>
          <w:tcPr>
            <w:tcW w:type="dxa" w:w="3312"/>
            <w:vAlign w:val="center"/>
          </w:tcPr>
          <w:p>
            <w:r/>
            <w:r>
              <w:rPr>
                <w:b w:val="0"/>
                <w:sz w:val="18"/>
              </w:rPr>
              <w:t>Quiz generation with exactly three questions and four options</w:t>
            </w:r>
          </w:p>
        </w:tc>
        <w:tc>
          <w:tcPr>
            <w:tcW w:type="dxa" w:w="3312"/>
            <w:vAlign w:val="center"/>
          </w:tcPr>
          <w:p>
            <w:r/>
            <w:r>
              <w:rPr>
                <w:b w:val="0"/>
                <w:sz w:val="18"/>
              </w:rPr>
              <w:t>Provides active learning and measurable structured output</w:t>
            </w:r>
          </w:p>
        </w:tc>
      </w:tr>
      <w:tr>
        <w:tc>
          <w:tcPr>
            <w:tcW w:type="dxa" w:w="3312"/>
            <w:vAlign w:val="center"/>
          </w:tcPr>
          <w:p>
            <w:r/>
            <w:r>
              <w:rPr>
                <w:b w:val="0"/>
                <w:sz w:val="18"/>
              </w:rPr>
              <w:t>High</w:t>
            </w:r>
          </w:p>
        </w:tc>
        <w:tc>
          <w:tcPr>
            <w:tcW w:type="dxa" w:w="3312"/>
            <w:vAlign w:val="center"/>
          </w:tcPr>
          <w:p>
            <w:r/>
            <w:r>
              <w:rPr>
                <w:b w:val="0"/>
                <w:sz w:val="18"/>
              </w:rPr>
              <w:t>Learning recommendations</w:t>
            </w:r>
          </w:p>
        </w:tc>
        <w:tc>
          <w:tcPr>
            <w:tcW w:type="dxa" w:w="3312"/>
            <w:vAlign w:val="center"/>
          </w:tcPr>
          <w:p>
            <w:r/>
            <w:r>
              <w:rPr>
                <w:b w:val="0"/>
                <w:sz w:val="18"/>
              </w:rPr>
              <w:t>Supports guided study beyond one-off answers</w:t>
            </w:r>
          </w:p>
        </w:tc>
      </w:tr>
      <w:tr>
        <w:tc>
          <w:tcPr>
            <w:tcW w:type="dxa" w:w="3312"/>
            <w:vAlign w:val="center"/>
          </w:tcPr>
          <w:p>
            <w:r/>
            <w:r>
              <w:rPr>
                <w:b w:val="0"/>
                <w:sz w:val="18"/>
              </w:rPr>
              <w:t>Medium</w:t>
            </w:r>
          </w:p>
        </w:tc>
        <w:tc>
          <w:tcPr>
            <w:tcW w:type="dxa" w:w="3312"/>
            <w:vAlign w:val="center"/>
          </w:tcPr>
          <w:p>
            <w:r/>
            <w:r>
              <w:rPr>
                <w:b w:val="0"/>
                <w:sz w:val="18"/>
              </w:rPr>
              <w:t>Responsive browser UI and REST API</w:t>
            </w:r>
          </w:p>
        </w:tc>
        <w:tc>
          <w:tcPr>
            <w:tcW w:type="dxa" w:w="3312"/>
            <w:vAlign w:val="center"/>
          </w:tcPr>
          <w:p>
            <w:r/>
            <w:r>
              <w:rPr>
                <w:b w:val="0"/>
                <w:sz w:val="18"/>
              </w:rPr>
              <w:t>Makes the service usable by both people and other clients</w:t>
            </w:r>
          </w:p>
        </w:tc>
      </w:tr>
      <w:tr>
        <w:tc>
          <w:tcPr>
            <w:tcW w:type="dxa" w:w="3312"/>
            <w:vAlign w:val="center"/>
          </w:tcPr>
          <w:p>
            <w:r/>
            <w:r>
              <w:rPr>
                <w:b w:val="0"/>
                <w:sz w:val="18"/>
              </w:rPr>
              <w:t>Low/Future</w:t>
            </w:r>
          </w:p>
        </w:tc>
        <w:tc>
          <w:tcPr>
            <w:tcW w:type="dxa" w:w="3312"/>
            <w:vAlign w:val="center"/>
          </w:tcPr>
          <w:p>
            <w:r/>
            <w:r>
              <w:rPr>
                <w:b w:val="0"/>
                <w:sz w:val="18"/>
              </w:rPr>
              <w:t>User accounts, saved history, progress analytics, subject-specific curricula</w:t>
            </w:r>
          </w:p>
        </w:tc>
        <w:tc>
          <w:tcPr>
            <w:tcW w:type="dxa" w:w="3312"/>
            <w:vAlign w:val="center"/>
          </w:tcPr>
          <w:p>
            <w:r/>
            <w:r>
              <w:rPr>
                <w:b w:val="0"/>
                <w:sz w:val="18"/>
              </w:rPr>
              <w:t>Useful extensions requiring persistent storage and broader scope</w:t>
            </w:r>
          </w:p>
        </w:tc>
      </w:tr>
    </w:tbl>
    <w:p/>
    <w:p>
      <w:pPr>
        <w:pStyle w:val="Heading1"/>
      </w:pPr>
      <w:r>
        <w:t>5. Final Decision</w:t>
      </w:r>
    </w:p>
    <w:p>
      <w:r>
        <w:t>EduGenie was selected because it combines a simple, accessible learning interface with a well-defined FastAPI backend and a dedicated Gemini service layer. The design supports both real Gemini mode and deterministic demo mode for reliable local demonstrations and testing.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