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Requirement Analysis Phase — 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22/09/2026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Level-1 Data Flow</w:t>
      </w:r>
    </w:p>
    <w:p>
      <w:r>
        <w:t>The user interacts with the browser UI or an API client. FastAPI receives the request, validates it using Pydantic schemas or query constraints, sends a focused prompt to the selected AI service, validates/parses the result where structure is required, and returns a JSON response. Demo mode follows the same endpoint path but uses deterministic local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Data Flow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 enters a question, topic, or passage in the web UI.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JavaScript sends GET or POST request to the corresponding /api endpoint.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FastAPI router validates query parameters or request body.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service selects DemoService or GeminiService from configuration.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GeminiService builds a prompt and calls the google-genai SDK; quiz output is parsed and validated.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Router returns a typed JSON response or a 503/502 error.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Browser renders the answer, summary, learning path, or quiz.</w:t>
            </w:r>
          </w:p>
        </w:tc>
      </w:tr>
    </w:tbl>
    <w:p/>
    <w:p>
      <w:pPr>
        <w:pStyle w:val="Heading1"/>
      </w:pPr>
      <w:r>
        <w:t>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US-1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As a learner, I can ask an educational question.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Valid question returns an answer field.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US-2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As a learner, I can request a simple topic explanation.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Valid topic returns topic and explanation.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US-3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As a learner, I can summarize a passage.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Valid text returns summary.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US-4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As a learner, I can generate a quiz.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Response contains exactly 3 questions, 4 options each, and an answer matching an option.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US-5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As a learner, I can get a learning path.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Response contains topic and recommendations.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US-6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As an API consumer, I can inspect service health.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/health returns status and configuration flags.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US-7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As a developer, I can run without an API key.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DEMO_MODE=true returns deterministic responses.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