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4"/>
        </w:rPr>
        <w:t>EduGenie — Gemini Powered Learning Assistant</w:t>
      </w:r>
    </w:p>
    <w:p>
      <w:pPr>
        <w:jc w:val="center"/>
      </w:pPr>
      <w:r>
        <w:rPr>
          <w:b/>
          <w:sz w:val="28"/>
        </w:rPr>
        <w:t>Requirement Analysis Phase — Solution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4968"/>
            <w:vAlign w:val="center"/>
            <w:shd w:fill="D9EAF7"/>
          </w:tcPr>
          <w:p>
            <w:r/>
            <w:r>
              <w:rPr>
                <w:b/>
                <w:sz w:val="18"/>
              </w:rPr>
              <w:t>Details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Date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22/09/2026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Team ID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SWTID-2026-4128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Project Title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EduGenie — Gemini Powered Learning Assistant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Team Size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Team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Team Leader: Prawin A K  |  Team Members: Suganesh Govindaraj  |  Thamaraiselvan K  |  Thamaraiselvan Eswaran</w:t>
            </w:r>
          </w:p>
        </w:tc>
      </w:tr>
    </w:tbl>
    <w:p/>
    <w:p>
      <w:pPr>
        <w:pStyle w:val="Heading1"/>
      </w:pPr>
      <w:r>
        <w:t>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center"/>
            <w:shd w:fill="D9EAF7"/>
          </w:tcPr>
          <w:p>
            <w:r/>
            <w:r>
              <w:rPr>
                <w:b/>
                <w:sz w:val="18"/>
              </w:rPr>
              <w:t>FR No.</w:t>
            </w:r>
          </w:p>
        </w:tc>
        <w:tc>
          <w:tcPr>
            <w:tcW w:type="dxa" w:w="2484"/>
            <w:vAlign w:val="center"/>
            <w:shd w:fill="D9EAF7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2484"/>
            <w:vAlign w:val="center"/>
            <w:shd w:fill="D9EAF7"/>
          </w:tcPr>
          <w:p>
            <w:r/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2484"/>
            <w:vAlign w:val="center"/>
            <w:shd w:fill="D9EAF7"/>
          </w:tcPr>
          <w:p>
            <w:r/>
            <w:r>
              <w:rPr>
                <w:b/>
                <w:sz w:val="18"/>
              </w:rPr>
              <w:t>Priority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FR-1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Question answering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User submits a question and receives a concise educational answer.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High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FR-2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Topic explanation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User submits a topic and receives a simple explanation, analogy, and example.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High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FR-3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Text summarization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User submits educational text and receives a shorter summary preserving important facts.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High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FR-4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Quiz generation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User submits text and receives exactly three MCQs, each with four options and a valid answer.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High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FR-5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Learning path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User submits a topic and receives beginner, intermediate, and advanced recommendations.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High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FR-6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Web interface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User can access all features through a browser UI.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High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FR-7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REST API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External clients can call documented FastAPI endpoints.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High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FR-8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Demo mode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The system can operate with deterministic responses without an API key.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Medium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FR-9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Health check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The service reports availability and Gemini configuration status.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Medium</w:t>
            </w:r>
          </w:p>
        </w:tc>
      </w:tr>
    </w:tbl>
    <w:p/>
    <w:p>
      <w:pPr>
        <w:pStyle w:val="Heading1"/>
      </w:pPr>
      <w:r>
        <w:t>Non-functional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D9EAF7"/>
          </w:tcPr>
          <w:p>
            <w:r/>
            <w:r>
              <w:rPr>
                <w:b/>
                <w:sz w:val="18"/>
              </w:rPr>
              <w:t>NFR</w:t>
            </w:r>
          </w:p>
        </w:tc>
        <w:tc>
          <w:tcPr>
            <w:tcW w:type="dxa" w:w="3312"/>
            <w:vAlign w:val="center"/>
            <w:shd w:fill="D9EAF7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3312"/>
            <w:vAlign w:val="center"/>
            <w:shd w:fill="D9EAF7"/>
          </w:tcPr>
          <w:p>
            <w:r/>
            <w:r>
              <w:rPr>
                <w:b/>
                <w:sz w:val="18"/>
              </w:rPr>
              <w:t>Acceptance Target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NFR-1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Usability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Clear labels, simple inputs, readable result areas, responsive layout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NFR-2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Validation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Reject empty, undersized, oversized, and malformed inputs with useful HTTP errors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NFR-3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Reliability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Handle missing keys, empty AI results, invalid quiz JSON, and upstream failures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NFR-4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Performance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Use async FastAPI routes and bounded input sizes; AI latency is reported gracefully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NFR-5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Security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Keep API keys in .env, exclude .env from version control, and avoid exposing secrets in responses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NFR-6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Maintainability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Keep prompts, AI integration, schemas, routes, and configuration in separate modules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NFR-7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Compatibility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Run on Python 3.10+ with a standard virtual environment</w:t>
            </w:r>
          </w:p>
        </w:tc>
      </w:tr>
    </w:tbl>
    <w:p/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