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Requirement Analysis Phase —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Technical Architecture</w:t>
      </w:r>
    </w:p>
    <w:p>
      <w:r>
        <w:t>EduGenie uses a lightweight full-stack web architecture. A FastAPI application serves the HTML interface and static assets and exposes JSON endpoints. A service abstraction isolates Gemini-specific code, allowing the same API to run with DemoService during local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Python 3.10+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Application execution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Backend framework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Async REST endpoints, routing, OpenAPI documentation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ASGI server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Runs the FastAPI application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Pydantic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Typed request and response schemas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google-genai SDK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Calls Gemini for educational generation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HTML, CSS, JavaScript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Browser interface and API requests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Templates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Jinja2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Serves index.html and exposes demo-mode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Loads GEMINI_API_KEY and runtime settings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pytest, httpx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Endpoint and response-shape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storage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None in v1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Stateless requests; persistence is future scope</w:t>
            </w:r>
          </w:p>
        </w:tc>
      </w:tr>
    </w:tbl>
    <w:p/>
    <w:p>
      <w:pPr>
        <w:pStyle w:val="Heading1"/>
      </w:pPr>
      <w:r>
        <w:t>Application Characteristics</w:t>
      </w:r>
    </w:p>
    <w:p>
      <w:pPr>
        <w:pStyle w:val="ListBullet"/>
      </w:pPr>
      <w:r>
        <w:t>Modular: routes, schemas, prompts, services, and configuration are separated.</w:t>
      </w:r>
    </w:p>
    <w:p>
      <w:pPr>
        <w:pStyle w:val="ListBullet"/>
      </w:pPr>
      <w:r>
        <w:t>Secure by configuration: API keys are loaded from environment variables and .env is ignored.</w:t>
      </w:r>
    </w:p>
    <w:p>
      <w:pPr>
        <w:pStyle w:val="ListBullet"/>
      </w:pPr>
      <w:r>
        <w:t>Testable: deterministic demo mode avoids network calls in tests.</w:t>
      </w:r>
    </w:p>
    <w:p>
      <w:pPr>
        <w:pStyle w:val="ListBullet"/>
      </w:pPr>
      <w:r>
        <w:t>Scalable in design: a persistence layer, authentication, and background processing can be added later.</w:t>
      </w:r>
    </w:p>
    <w:p>
      <w:pPr>
        <w:pStyle w:val="ListBullet"/>
      </w:pPr>
      <w:r>
        <w:t>API-first: browser UI and external clients use the same JSON endpoints.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