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Design Phase — Problem–Solution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Problem–Solution Fit Overview</w:t>
      </w:r>
    </w:p>
    <w:p>
      <w:r>
        <w:t>The design directly maps learner pain points to focused AI capabilities. Instead of attempting to build a full learning-management system in the first release, EduGenie concentrates on five high-value study interactions and exposes them through a simple interface and stable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EduGenie Solution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in Design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Difficult topics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Topic explanation endpoint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EXPLAIN_PROMPT requests simple language, analogy, and example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Long passages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Summarization endpoint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SUMMARY_PROMPT preserves facts and removes repetition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Lack of practice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Quiz endpoint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QUIZ_PROMPT requires 3 questions, 4 options, and answer matching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Unclear study order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Learning-path endpoint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LEARNING_PATH_PROMPT requests levels, time, sequence, practice, and resources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Scattered access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Single browser UI plus REST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index.html provides all five tools; FastAPI routes are reusable</w:t>
            </w:r>
          </w:p>
        </w:tc>
      </w:tr>
    </w:tbl>
    <w:p/>
    <w:p>
      <w:pPr>
        <w:pStyle w:val="Heading1"/>
      </w:pPr>
      <w:r>
        <w:t>Scope Boundary</w:t>
      </w:r>
    </w:p>
    <w:p>
      <w:r>
        <w:t>Version 1 is a stateless learning assistant. It does not yet provide accounts, saved conversations, grades, course enrollment, or a teacher dashboard. These are deliberate future extensions rather than missing core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