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EduGenie — Gemini Powered Learning Assistant</w:t>
      </w:r>
    </w:p>
    <w:p>
      <w:pPr>
        <w:jc w:val="center"/>
      </w:pPr>
      <w:r>
        <w:rPr>
          <w:b/>
          <w:sz w:val="28"/>
        </w:rPr>
        <w:t>Project Documentation Phase — EduGenie Full Project Report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Field</w:t>
            </w:r>
          </w:p>
        </w:tc>
        <w:tc>
          <w:tcPr>
            <w:tcW w:type="dxa" w:w="4968"/>
            <w:vAlign w:val="center"/>
            <w:shd w:fill="D9EAF7"/>
          </w:tcPr>
          <w:p>
            <w:r/>
            <w:r>
              <w:rPr>
                <w:b/>
                <w:sz w:val="18"/>
              </w:rPr>
              <w:t>Details</w:t>
            </w:r>
          </w:p>
        </w:tc>
      </w:tr>
      <w:tr>
        <w:tc>
          <w:tcPr>
            <w:tcW w:type="dxa" w:w="4968"/>
            <w:vAlign w:val="center"/>
          </w:tcPr>
          <w:p>
            <w:r/>
            <w:r>
              <w:rPr>
                <w:b w:val="0"/>
                <w:sz w:val="18"/>
              </w:rPr>
              <w:t>Date</w:t>
            </w:r>
          </w:p>
        </w:tc>
        <w:tc>
          <w:tcPr>
            <w:tcW w:type="dxa" w:w="4968"/>
            <w:vAlign w:val="center"/>
          </w:tcPr>
          <w:p>
            <w:r/>
            <w:r>
              <w:rPr>
                <w:b w:val="0"/>
                <w:sz w:val="18"/>
              </w:rPr>
              <w:t>24/09/2026</w:t>
            </w:r>
          </w:p>
        </w:tc>
      </w:tr>
      <w:tr>
        <w:tc>
          <w:tcPr>
            <w:tcW w:type="dxa" w:w="4968"/>
            <w:vAlign w:val="center"/>
          </w:tcPr>
          <w:p>
            <w:r/>
            <w:r>
              <w:rPr>
                <w:b w:val="0"/>
                <w:sz w:val="18"/>
              </w:rPr>
              <w:t>Team ID</w:t>
            </w:r>
          </w:p>
        </w:tc>
        <w:tc>
          <w:tcPr>
            <w:tcW w:type="dxa" w:w="4968"/>
            <w:vAlign w:val="center"/>
          </w:tcPr>
          <w:p>
            <w:r/>
            <w:r>
              <w:rPr>
                <w:b w:val="0"/>
                <w:sz w:val="18"/>
              </w:rPr>
              <w:t>SWTID-2026-4128</w:t>
            </w:r>
          </w:p>
        </w:tc>
      </w:tr>
      <w:tr>
        <w:tc>
          <w:tcPr>
            <w:tcW w:type="dxa" w:w="4968"/>
            <w:vAlign w:val="center"/>
          </w:tcPr>
          <w:p>
            <w:r/>
            <w:r>
              <w:rPr>
                <w:b w:val="0"/>
                <w:sz w:val="18"/>
              </w:rPr>
              <w:t>Project Title</w:t>
            </w:r>
          </w:p>
        </w:tc>
        <w:tc>
          <w:tcPr>
            <w:tcW w:type="dxa" w:w="4968"/>
            <w:vAlign w:val="center"/>
          </w:tcPr>
          <w:p>
            <w:r/>
            <w:r>
              <w:rPr>
                <w:b w:val="0"/>
                <w:sz w:val="18"/>
              </w:rPr>
              <w:t>EduGenie — Gemini Powered Learning Assistant</w:t>
            </w:r>
          </w:p>
        </w:tc>
      </w:tr>
      <w:tr>
        <w:tc>
          <w:tcPr>
            <w:tcW w:type="dxa" w:w="4968"/>
            <w:vAlign w:val="center"/>
          </w:tcPr>
          <w:p>
            <w:r/>
            <w:r>
              <w:rPr>
                <w:b w:val="0"/>
                <w:sz w:val="18"/>
              </w:rPr>
              <w:t>Team Size</w:t>
            </w:r>
          </w:p>
        </w:tc>
        <w:tc>
          <w:tcPr>
            <w:tcW w:type="dxa" w:w="4968"/>
            <w:vAlign w:val="center"/>
          </w:tcPr>
          <w:p>
            <w:r/>
            <w:r>
              <w:rPr>
                <w:b w:val="0"/>
                <w:sz w:val="18"/>
              </w:rPr>
              <w:t>4</w:t>
            </w:r>
          </w:p>
        </w:tc>
      </w:tr>
      <w:tr>
        <w:tc>
          <w:tcPr>
            <w:tcW w:type="dxa" w:w="4968"/>
            <w:vAlign w:val="center"/>
          </w:tcPr>
          <w:p>
            <w:r/>
            <w:r>
              <w:rPr>
                <w:b w:val="0"/>
                <w:sz w:val="18"/>
              </w:rPr>
              <w:t>Team</w:t>
            </w:r>
          </w:p>
        </w:tc>
        <w:tc>
          <w:tcPr>
            <w:tcW w:type="dxa" w:w="4968"/>
            <w:vAlign w:val="center"/>
          </w:tcPr>
          <w:p>
            <w:r/>
            <w:r>
              <w:rPr>
                <w:b w:val="0"/>
                <w:sz w:val="18"/>
              </w:rPr>
              <w:t>Team Leader: Prawin A K  |  Team Members: Suganesh Govindaraj  |  Thamaraiselvan K  |  Thamaraiselvan Eswaran</w:t>
            </w:r>
          </w:p>
        </w:tc>
      </w:tr>
    </w:tbl>
    <w:p/>
    <w:p>
      <w:pPr>
        <w:pStyle w:val="Heading1"/>
      </w:pPr>
      <w:r>
        <w:t>Executive Summary</w:t>
      </w:r>
    </w:p>
    <w:p>
      <w:r>
        <w:t>EduGenie — Gemini Powered Learning Assistant is a complete v1 educational assistant built with FastAPI, HTML/CSS/JavaScript, Pydantic, and the Google Gemini SDK. It addresses a common learner problem: needing quick, understandable, and structured study support without switching among multiple tools. The system is intentionally stateless and modular, making it easy to extend with accounts, persistence, analytics, and classroom features later.</w:t>
      </w:r>
    </w:p>
    <w:p>
      <w:pPr>
        <w:pStyle w:val="Heading1"/>
      </w:pPr>
      <w:r>
        <w:t>Problem and Solution</w:t>
      </w:r>
    </w:p>
    <w:p>
      <w:r>
        <w:t>Learners frequently need help understanding difficult topics, condensing long passages, creating practice questions, and planning what to learn next. EduGenie provides one interface and five API capabilities that map directly to these needs. Prompt templates instruct Gemini to use clear language and structured outputs, while the service layer provides deterministic demo responses when an API key is unavailable.</w:t>
      </w:r>
    </w:p>
    <w:p>
      <w:pPr>
        <w:pStyle w:val="Heading1"/>
      </w:pPr>
      <w:r>
        <w:t>System Architecture</w:t>
      </w:r>
    </w:p>
    <w:p>
      <w:r>
        <w:t>The browser sends requests to FastAPI. The router validates inputs and invokes the AI service factory. The factory selects DemoService or GeminiService based on environment configuration. GeminiService builds a focused prompt, calls the google-genai SDK, parses structured quiz JSON, and returns a typed result. The router sends JSON to the browser or external client.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Area</w:t>
            </w:r>
          </w:p>
        </w:tc>
        <w:tc>
          <w:tcPr>
            <w:tcW w:type="dxa" w:w="4968"/>
            <w:vAlign w:val="center"/>
            <w:shd w:fill="D9EAF7"/>
          </w:tcPr>
          <w:p>
            <w:r/>
            <w:r>
              <w:rPr>
                <w:b/>
                <w:sz w:val="18"/>
              </w:rPr>
              <w:t>Details</w:t>
            </w:r>
          </w:p>
        </w:tc>
      </w:tr>
      <w:tr>
        <w:tc>
          <w:tcPr>
            <w:tcW w:type="dxa" w:w="4968"/>
            <w:vAlign w:val="center"/>
          </w:tcPr>
          <w:p>
            <w:r/>
            <w:r>
              <w:rPr>
                <w:b w:val="0"/>
                <w:sz w:val="18"/>
              </w:rPr>
              <w:t>Backend</w:t>
            </w:r>
          </w:p>
        </w:tc>
        <w:tc>
          <w:tcPr>
            <w:tcW w:type="dxa" w:w="4968"/>
            <w:vAlign w:val="center"/>
          </w:tcPr>
          <w:p>
            <w:r/>
            <w:r>
              <w:rPr>
                <w:b w:val="0"/>
                <w:sz w:val="18"/>
              </w:rPr>
              <w:t>FastAPI + Uvicorn, async route handlers</w:t>
            </w:r>
          </w:p>
        </w:tc>
      </w:tr>
      <w:tr>
        <w:tc>
          <w:tcPr>
            <w:tcW w:type="dxa" w:w="4968"/>
            <w:vAlign w:val="center"/>
          </w:tcPr>
          <w:p>
            <w:r/>
            <w:r>
              <w:rPr>
                <w:b w:val="0"/>
                <w:sz w:val="18"/>
              </w:rPr>
              <w:t>Frontend</w:t>
            </w:r>
          </w:p>
        </w:tc>
        <w:tc>
          <w:tcPr>
            <w:tcW w:type="dxa" w:w="4968"/>
            <w:vAlign w:val="center"/>
          </w:tcPr>
          <w:p>
            <w:r/>
            <w:r>
              <w:rPr>
                <w:b w:val="0"/>
                <w:sz w:val="18"/>
              </w:rPr>
              <w:t>Jinja2-served HTML, CSS, and vanilla JavaScript</w:t>
            </w:r>
          </w:p>
        </w:tc>
      </w:tr>
      <w:tr>
        <w:tc>
          <w:tcPr>
            <w:tcW w:type="dxa" w:w="4968"/>
            <w:vAlign w:val="center"/>
          </w:tcPr>
          <w:p>
            <w:r/>
            <w:r>
              <w:rPr>
                <w:b w:val="0"/>
                <w:sz w:val="18"/>
              </w:rPr>
              <w:t>AI</w:t>
            </w:r>
          </w:p>
        </w:tc>
        <w:tc>
          <w:tcPr>
            <w:tcW w:type="dxa" w:w="4968"/>
            <w:vAlign w:val="center"/>
          </w:tcPr>
          <w:p>
            <w:r/>
            <w:r>
              <w:rPr>
                <w:b w:val="0"/>
                <w:sz w:val="18"/>
              </w:rPr>
              <w:t>google-genai SDK with configurable Gemini model</w:t>
            </w:r>
          </w:p>
        </w:tc>
      </w:tr>
      <w:tr>
        <w:tc>
          <w:tcPr>
            <w:tcW w:type="dxa" w:w="4968"/>
            <w:vAlign w:val="center"/>
          </w:tcPr>
          <w:p>
            <w:r/>
            <w:r>
              <w:rPr>
                <w:b w:val="0"/>
                <w:sz w:val="18"/>
              </w:rPr>
              <w:t>Validation</w:t>
            </w:r>
          </w:p>
        </w:tc>
        <w:tc>
          <w:tcPr>
            <w:tcW w:type="dxa" w:w="4968"/>
            <w:vAlign w:val="center"/>
          </w:tcPr>
          <w:p>
            <w:r/>
            <w:r>
              <w:rPr>
                <w:b w:val="0"/>
                <w:sz w:val="18"/>
              </w:rPr>
              <w:t>Pydantic 2 schemas and FastAPI query constraints</w:t>
            </w:r>
          </w:p>
        </w:tc>
      </w:tr>
      <w:tr>
        <w:tc>
          <w:tcPr>
            <w:tcW w:type="dxa" w:w="4968"/>
            <w:vAlign w:val="center"/>
          </w:tcPr>
          <w:p>
            <w:r/>
            <w:r>
              <w:rPr>
                <w:b w:val="0"/>
                <w:sz w:val="18"/>
              </w:rPr>
              <w:t>Testing</w:t>
            </w:r>
          </w:p>
        </w:tc>
        <w:tc>
          <w:tcPr>
            <w:tcW w:type="dxa" w:w="4968"/>
            <w:vAlign w:val="center"/>
          </w:tcPr>
          <w:p>
            <w:r/>
            <w:r>
              <w:rPr>
                <w:b w:val="0"/>
                <w:sz w:val="18"/>
              </w:rPr>
              <w:t>pytest and FastAPI TestClient in demo mode</w:t>
            </w:r>
          </w:p>
        </w:tc>
      </w:tr>
      <w:tr>
        <w:tc>
          <w:tcPr>
            <w:tcW w:type="dxa" w:w="4968"/>
            <w:vAlign w:val="center"/>
          </w:tcPr>
          <w:p>
            <w:r/>
            <w:r>
              <w:rPr>
                <w:b w:val="0"/>
                <w:sz w:val="18"/>
              </w:rPr>
              <w:t>Storage</w:t>
            </w:r>
          </w:p>
        </w:tc>
        <w:tc>
          <w:tcPr>
            <w:tcW w:type="dxa" w:w="4968"/>
            <w:vAlign w:val="center"/>
          </w:tcPr>
          <w:p>
            <w:r/>
            <w:r>
              <w:rPr>
                <w:b w:val="0"/>
                <w:sz w:val="18"/>
              </w:rPr>
              <w:t>No database in v1; requests are stateless</w:t>
            </w:r>
          </w:p>
        </w:tc>
      </w:tr>
      <w:tr>
        <w:tc>
          <w:tcPr>
            <w:tcW w:type="dxa" w:w="4968"/>
            <w:vAlign w:val="center"/>
          </w:tcPr>
          <w:p>
            <w:r/>
            <w:r>
              <w:rPr>
                <w:b w:val="0"/>
                <w:sz w:val="18"/>
              </w:rPr>
              <w:t>Deployment Configuration</w:t>
            </w:r>
          </w:p>
        </w:tc>
        <w:tc>
          <w:tcPr>
            <w:tcW w:type="dxa" w:w="4968"/>
            <w:vAlign w:val="center"/>
          </w:tcPr>
          <w:p>
            <w:r/>
            <w:r>
              <w:rPr>
                <w:b w:val="0"/>
                <w:sz w:val="18"/>
              </w:rPr>
              <w:t>GEMINI_API_KEY, GEMINI_MODEL, DEMO_MODE, HOST, PORT</w:t>
            </w:r>
          </w:p>
        </w:tc>
      </w:tr>
    </w:tbl>
    <w:p/>
    <w:p>
      <w:pPr>
        <w:pStyle w:val="Heading1"/>
      </w:pPr>
      <w:r>
        <w:t>API Catalogue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Method</w:t>
            </w:r>
          </w:p>
        </w:tc>
        <w:tc>
          <w:tcPr>
            <w:tcW w:type="dxa" w:w="3312"/>
            <w:vAlign w:val="center"/>
            <w:shd w:fill="D9EAF7"/>
          </w:tcPr>
          <w:p>
            <w:r/>
            <w:r>
              <w:rPr>
                <w:b/>
                <w:sz w:val="18"/>
              </w:rPr>
              <w:t>Endpoint</w:t>
            </w:r>
          </w:p>
        </w:tc>
        <w:tc>
          <w:tcPr>
            <w:tcW w:type="dxa" w:w="3312"/>
            <w:vAlign w:val="center"/>
            <w:shd w:fill="D9EAF7"/>
          </w:tcPr>
          <w:p>
            <w:r/>
            <w:r>
              <w:rPr>
                <w:b/>
                <w:sz w:val="18"/>
              </w:rPr>
              <w:t>Purpose</w:t>
            </w:r>
          </w:p>
        </w:tc>
      </w:tr>
      <w:tr>
        <w:tc>
          <w:tcPr>
            <w:tcW w:type="dxa" w:w="3312"/>
            <w:vAlign w:val="center"/>
          </w:tcPr>
          <w:p>
            <w:r/>
            <w:r>
              <w:rPr>
                <w:b w:val="0"/>
                <w:sz w:val="18"/>
              </w:rPr>
              <w:t>GET</w:t>
            </w:r>
          </w:p>
        </w:tc>
        <w:tc>
          <w:tcPr>
            <w:tcW w:type="dxa" w:w="3312"/>
            <w:vAlign w:val="center"/>
          </w:tcPr>
          <w:p>
            <w:r/>
            <w:r>
              <w:rPr>
                <w:b w:val="0"/>
                <w:sz w:val="18"/>
              </w:rPr>
              <w:t>/api/qna</w:t>
            </w:r>
          </w:p>
        </w:tc>
        <w:tc>
          <w:tcPr>
            <w:tcW w:type="dxa" w:w="3312"/>
            <w:vAlign w:val="center"/>
          </w:tcPr>
          <w:p>
            <w:r/>
            <w:r>
              <w:rPr>
                <w:b w:val="0"/>
                <w:sz w:val="18"/>
              </w:rPr>
              <w:t>Answer a learner question</w:t>
            </w:r>
          </w:p>
        </w:tc>
      </w:tr>
      <w:tr>
        <w:tc>
          <w:tcPr>
            <w:tcW w:type="dxa" w:w="3312"/>
            <w:vAlign w:val="center"/>
          </w:tcPr>
          <w:p>
            <w:r/>
            <w:r>
              <w:rPr>
                <w:b w:val="0"/>
                <w:sz w:val="18"/>
              </w:rPr>
              <w:t>POST</w:t>
            </w:r>
          </w:p>
        </w:tc>
        <w:tc>
          <w:tcPr>
            <w:tcW w:type="dxa" w:w="3312"/>
            <w:vAlign w:val="center"/>
          </w:tcPr>
          <w:p>
            <w:r/>
            <w:r>
              <w:rPr>
                <w:b w:val="0"/>
                <w:sz w:val="18"/>
              </w:rPr>
              <w:t>/api/explain</w:t>
            </w:r>
          </w:p>
        </w:tc>
        <w:tc>
          <w:tcPr>
            <w:tcW w:type="dxa" w:w="3312"/>
            <w:vAlign w:val="center"/>
          </w:tcPr>
          <w:p>
            <w:r/>
            <w:r>
              <w:rPr>
                <w:b w:val="0"/>
                <w:sz w:val="18"/>
              </w:rPr>
              <w:t>Explain a topic simply</w:t>
            </w:r>
          </w:p>
        </w:tc>
      </w:tr>
      <w:tr>
        <w:tc>
          <w:tcPr>
            <w:tcW w:type="dxa" w:w="3312"/>
            <w:vAlign w:val="center"/>
          </w:tcPr>
          <w:p>
            <w:r/>
            <w:r>
              <w:rPr>
                <w:b w:val="0"/>
                <w:sz w:val="18"/>
              </w:rPr>
              <w:t>POST</w:t>
            </w:r>
          </w:p>
        </w:tc>
        <w:tc>
          <w:tcPr>
            <w:tcW w:type="dxa" w:w="3312"/>
            <w:vAlign w:val="center"/>
          </w:tcPr>
          <w:p>
            <w:r/>
            <w:r>
              <w:rPr>
                <w:b w:val="0"/>
                <w:sz w:val="18"/>
              </w:rPr>
              <w:t>/api/summarize</w:t>
            </w:r>
          </w:p>
        </w:tc>
        <w:tc>
          <w:tcPr>
            <w:tcW w:type="dxa" w:w="3312"/>
            <w:vAlign w:val="center"/>
          </w:tcPr>
          <w:p>
            <w:r/>
            <w:r>
              <w:rPr>
                <w:b w:val="0"/>
                <w:sz w:val="18"/>
              </w:rPr>
              <w:t>Summarize supplied text</w:t>
            </w:r>
          </w:p>
        </w:tc>
      </w:tr>
      <w:tr>
        <w:tc>
          <w:tcPr>
            <w:tcW w:type="dxa" w:w="3312"/>
            <w:vAlign w:val="center"/>
          </w:tcPr>
          <w:p>
            <w:r/>
            <w:r>
              <w:rPr>
                <w:b w:val="0"/>
                <w:sz w:val="18"/>
              </w:rPr>
              <w:t>POST</w:t>
            </w:r>
          </w:p>
        </w:tc>
        <w:tc>
          <w:tcPr>
            <w:tcW w:type="dxa" w:w="3312"/>
            <w:vAlign w:val="center"/>
          </w:tcPr>
          <w:p>
            <w:r/>
            <w:r>
              <w:rPr>
                <w:b w:val="0"/>
                <w:sz w:val="18"/>
              </w:rPr>
              <w:t>/api/quiz</w:t>
            </w:r>
          </w:p>
        </w:tc>
        <w:tc>
          <w:tcPr>
            <w:tcW w:type="dxa" w:w="3312"/>
            <w:vAlign w:val="center"/>
          </w:tcPr>
          <w:p>
            <w:r/>
            <w:r>
              <w:rPr>
                <w:b w:val="0"/>
                <w:sz w:val="18"/>
              </w:rPr>
              <w:t>Generate and validate 3 MCQs</w:t>
            </w:r>
          </w:p>
        </w:tc>
      </w:tr>
      <w:tr>
        <w:tc>
          <w:tcPr>
            <w:tcW w:type="dxa" w:w="3312"/>
            <w:vAlign w:val="center"/>
          </w:tcPr>
          <w:p>
            <w:r/>
            <w:r>
              <w:rPr>
                <w:b w:val="0"/>
                <w:sz w:val="18"/>
              </w:rPr>
              <w:t>POST</w:t>
            </w:r>
          </w:p>
        </w:tc>
        <w:tc>
          <w:tcPr>
            <w:tcW w:type="dxa" w:w="3312"/>
            <w:vAlign w:val="center"/>
          </w:tcPr>
          <w:p>
            <w:r/>
            <w:r>
              <w:rPr>
                <w:b w:val="0"/>
                <w:sz w:val="18"/>
              </w:rPr>
              <w:t>/api/learning-path</w:t>
            </w:r>
          </w:p>
        </w:tc>
        <w:tc>
          <w:tcPr>
            <w:tcW w:type="dxa" w:w="3312"/>
            <w:vAlign w:val="center"/>
          </w:tcPr>
          <w:p>
            <w:r/>
            <w:r>
              <w:rPr>
                <w:b w:val="0"/>
                <w:sz w:val="18"/>
              </w:rPr>
              <w:t>Create a structured study path</w:t>
            </w:r>
          </w:p>
        </w:tc>
      </w:tr>
      <w:tr>
        <w:tc>
          <w:tcPr>
            <w:tcW w:type="dxa" w:w="3312"/>
            <w:vAlign w:val="center"/>
          </w:tcPr>
          <w:p>
            <w:r/>
            <w:r>
              <w:rPr>
                <w:b w:val="0"/>
                <w:sz w:val="18"/>
              </w:rPr>
              <w:t>GET</w:t>
            </w:r>
          </w:p>
        </w:tc>
        <w:tc>
          <w:tcPr>
            <w:tcW w:type="dxa" w:w="3312"/>
            <w:vAlign w:val="center"/>
          </w:tcPr>
          <w:p>
            <w:r/>
            <w:r>
              <w:rPr>
                <w:b w:val="0"/>
                <w:sz w:val="18"/>
              </w:rPr>
              <w:t>/health</w:t>
            </w:r>
          </w:p>
        </w:tc>
        <w:tc>
          <w:tcPr>
            <w:tcW w:type="dxa" w:w="3312"/>
            <w:vAlign w:val="center"/>
          </w:tcPr>
          <w:p>
            <w:r/>
            <w:r>
              <w:rPr>
                <w:b w:val="0"/>
                <w:sz w:val="18"/>
              </w:rPr>
              <w:t>Report service health and configuration</w:t>
            </w:r>
          </w:p>
        </w:tc>
      </w:tr>
    </w:tbl>
    <w:p/>
    <w:p>
      <w:pPr>
        <w:pStyle w:val="Heading1"/>
      </w:pPr>
      <w:r>
        <w:t>Operational Setup</w:t>
      </w:r>
    </w:p>
    <w:p>
      <w:r>
        <w:t>Create a virtual environment, install requirements.txt, copy .env.example to .env, set GEMINI_API_KEY for live mode or DEMO_MODE=true for offline mode, then run uvicorn. The application is available at http://127.0.0.1:8000, with interactive API documentation at /docs.</w:t>
      </w:r>
    </w:p>
    <w:p>
      <w:pPr>
        <w:pStyle w:val="Heading1"/>
      </w:pPr>
      <w:r>
        <w:t>Quality Summary</w:t>
      </w:r>
    </w:p>
    <w:p>
      <w:r>
        <w:t>The included tests verify the health endpoint, all five learning endpoints, deterministic demo behavior, and quiz response shape. The implementation also handles empty inputs, oversized text, missing Gemini configuration, empty AI output, upstream failures, and invalid quiz JSON.</w:t>
      </w:r>
    </w:p>
    <w:p>
      <w:pPr>
        <w:pStyle w:val="Heading1"/>
      </w:pPr>
      <w:r>
        <w:t>Conclusion</w:t>
      </w:r>
    </w:p>
    <w:p>
      <w:r>
        <w:t>EduGenie satisfies the core v1 objective of providing accessible AI-assisted learning support through a clean web interface and reusable API. Its modular structure and explicit validation make it suitable for academic demonstration and future production-oriented development.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