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4"/>
        </w:rPr>
        <w:t>EduGenie — Gemini Powered Learning Assistant</w:t>
      </w:r>
    </w:p>
    <w:p>
      <w:pPr>
        <w:jc w:val="center"/>
      </w:pPr>
      <w:r>
        <w:rPr>
          <w:b/>
          <w:sz w:val="28"/>
        </w:rPr>
        <w:t>Project Documentation Phase — Project Documentation Phase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Field</w:t>
            </w:r>
          </w:p>
        </w:tc>
        <w:tc>
          <w:tcPr>
            <w:tcW w:type="dxa" w:w="4968"/>
            <w:vAlign w:val="center"/>
            <w:shd w:fill="D9EAF7"/>
          </w:tcPr>
          <w:p>
            <w:r/>
            <w:r>
              <w:rPr>
                <w:b/>
                <w:sz w:val="18"/>
              </w:rPr>
              <w:t>Details</w:t>
            </w:r>
          </w:p>
        </w:tc>
      </w:tr>
      <w:tr>
        <w:tc>
          <w:tcPr>
            <w:tcW w:type="dxa" w:w="4968"/>
            <w:vAlign w:val="center"/>
          </w:tcPr>
          <w:p>
            <w:r/>
            <w:r>
              <w:rPr>
                <w:b w:val="0"/>
                <w:sz w:val="18"/>
              </w:rPr>
              <w:t>Date</w:t>
            </w:r>
          </w:p>
        </w:tc>
        <w:tc>
          <w:tcPr>
            <w:tcW w:type="dxa" w:w="4968"/>
            <w:vAlign w:val="center"/>
          </w:tcPr>
          <w:p>
            <w:r/>
            <w:r>
              <w:rPr>
                <w:b w:val="0"/>
                <w:sz w:val="18"/>
              </w:rPr>
              <w:t>24/09/2026</w:t>
            </w:r>
          </w:p>
        </w:tc>
      </w:tr>
      <w:tr>
        <w:tc>
          <w:tcPr>
            <w:tcW w:type="dxa" w:w="4968"/>
            <w:vAlign w:val="center"/>
          </w:tcPr>
          <w:p>
            <w:r/>
            <w:r>
              <w:rPr>
                <w:b w:val="0"/>
                <w:sz w:val="18"/>
              </w:rPr>
              <w:t>Team ID</w:t>
            </w:r>
          </w:p>
        </w:tc>
        <w:tc>
          <w:tcPr>
            <w:tcW w:type="dxa" w:w="4968"/>
            <w:vAlign w:val="center"/>
          </w:tcPr>
          <w:p>
            <w:r/>
            <w:r>
              <w:rPr>
                <w:b w:val="0"/>
                <w:sz w:val="18"/>
              </w:rPr>
              <w:t>SWTID-2026-4128</w:t>
            </w:r>
          </w:p>
        </w:tc>
      </w:tr>
      <w:tr>
        <w:tc>
          <w:tcPr>
            <w:tcW w:type="dxa" w:w="4968"/>
            <w:vAlign w:val="center"/>
          </w:tcPr>
          <w:p>
            <w:r/>
            <w:r>
              <w:rPr>
                <w:b w:val="0"/>
                <w:sz w:val="18"/>
              </w:rPr>
              <w:t>Project Title</w:t>
            </w:r>
          </w:p>
        </w:tc>
        <w:tc>
          <w:tcPr>
            <w:tcW w:type="dxa" w:w="4968"/>
            <w:vAlign w:val="center"/>
          </w:tcPr>
          <w:p>
            <w:r/>
            <w:r>
              <w:rPr>
                <w:b w:val="0"/>
                <w:sz w:val="18"/>
              </w:rPr>
              <w:t>EduGenie — Gemini Powered Learning Assistant</w:t>
            </w:r>
          </w:p>
        </w:tc>
      </w:tr>
      <w:tr>
        <w:tc>
          <w:tcPr>
            <w:tcW w:type="dxa" w:w="4968"/>
            <w:vAlign w:val="center"/>
          </w:tcPr>
          <w:p>
            <w:r/>
            <w:r>
              <w:rPr>
                <w:b w:val="0"/>
                <w:sz w:val="18"/>
              </w:rPr>
              <w:t>Team Size</w:t>
            </w:r>
          </w:p>
        </w:tc>
        <w:tc>
          <w:tcPr>
            <w:tcW w:type="dxa" w:w="4968"/>
            <w:vAlign w:val="center"/>
          </w:tcPr>
          <w:p>
            <w:r/>
            <w:r>
              <w:rPr>
                <w:b w:val="0"/>
                <w:sz w:val="18"/>
              </w:rPr>
              <w:t>4</w:t>
            </w:r>
          </w:p>
        </w:tc>
      </w:tr>
      <w:tr>
        <w:tc>
          <w:tcPr>
            <w:tcW w:type="dxa" w:w="4968"/>
            <w:vAlign w:val="center"/>
          </w:tcPr>
          <w:p>
            <w:r/>
            <w:r>
              <w:rPr>
                <w:b w:val="0"/>
                <w:sz w:val="18"/>
              </w:rPr>
              <w:t>Team</w:t>
            </w:r>
          </w:p>
        </w:tc>
        <w:tc>
          <w:tcPr>
            <w:tcW w:type="dxa" w:w="4968"/>
            <w:vAlign w:val="center"/>
          </w:tcPr>
          <w:p>
            <w:r/>
            <w:r>
              <w:rPr>
                <w:b w:val="0"/>
                <w:sz w:val="18"/>
              </w:rPr>
              <w:t>Team Leader: Prawin A K  |  Team Members: Suganesh Govindaraj  |  Thamaraiselvan K  |  Thamaraiselvan Eswaran</w:t>
            </w:r>
          </w:p>
        </w:tc>
      </w:tr>
    </w:tbl>
    <w:p/>
    <w:p>
      <w:pPr>
        <w:pStyle w:val="Heading1"/>
      </w:pPr>
      <w:r>
        <w:t>Project Description</w:t>
      </w:r>
    </w:p>
    <w:p>
      <w:r>
        <w:t>EduGenie is a Gemini-powered educational learning assistant. It provides a browser interface and REST API for answering questions, explaining topics, summarizing passages, generating quizzes, and creating learning recommendations.</w:t>
      </w:r>
    </w:p>
    <w:p>
      <w:pPr>
        <w:pStyle w:val="Heading1"/>
      </w:pPr>
      <w:r>
        <w:t>Key Features</w:t>
      </w:r>
    </w:p>
    <w:p>
      <w:pPr>
        <w:pStyle w:val="ListBullet"/>
      </w:pPr>
      <w:r>
        <w:t>Q&amp;A using GET /api/qna</w:t>
      </w:r>
    </w:p>
    <w:p>
      <w:pPr>
        <w:pStyle w:val="ListBullet"/>
      </w:pPr>
      <w:r>
        <w:t>Simple topic explanations using POST /api/explain</w:t>
      </w:r>
    </w:p>
    <w:p>
      <w:pPr>
        <w:pStyle w:val="ListBullet"/>
      </w:pPr>
      <w:r>
        <w:t>Educational passage summaries using POST /api/summarize</w:t>
      </w:r>
    </w:p>
    <w:p>
      <w:pPr>
        <w:pStyle w:val="ListBullet"/>
      </w:pPr>
      <w:r>
        <w:t>Three-question, four-option quiz generation using POST /api/quiz</w:t>
      </w:r>
    </w:p>
    <w:p>
      <w:pPr>
        <w:pStyle w:val="ListBullet"/>
      </w:pPr>
      <w:r>
        <w:t>Beginner-to-advanced learning recommendations using POST /api/learning-path</w:t>
      </w:r>
    </w:p>
    <w:p>
      <w:pPr>
        <w:pStyle w:val="ListBullet"/>
      </w:pPr>
      <w:r>
        <w:t>Health monitoring at /health</w:t>
      </w:r>
    </w:p>
    <w:p>
      <w:pPr>
        <w:pStyle w:val="ListBullet"/>
      </w:pPr>
      <w:r>
        <w:t>Demo mode for offline development and automated testing</w:t>
      </w:r>
    </w:p>
    <w:p>
      <w:pPr>
        <w:pStyle w:val="ListBullet"/>
      </w:pPr>
      <w:r>
        <w:t>Swagger API documentation at /docs</w:t>
      </w:r>
    </w:p>
    <w:p>
      <w:pPr>
        <w:pStyle w:val="Heading1"/>
      </w:pPr>
      <w:r>
        <w:t>Security and Reliability</w:t>
      </w:r>
    </w:p>
    <w:p>
      <w:r>
        <w:t>Secrets are read from environment variables, .env is excluded from Git, request sizes are bounded, input is validated, AI responses are checked where structure matters, and upstream failures are converted to useful HTTP errors.</w:t>
      </w:r>
    </w:p>
    <w:p>
      <w:pPr>
        <w:pStyle w:val="Heading1"/>
      </w:pPr>
      <w:r>
        <w:t>Future Scope</w:t>
      </w:r>
    </w:p>
    <w:p>
      <w:pPr>
        <w:pStyle w:val="ListBullet"/>
      </w:pPr>
      <w:r>
        <w:t>User authentication and saved study history</w:t>
      </w:r>
    </w:p>
    <w:p>
      <w:pPr>
        <w:pStyle w:val="ListBullet"/>
      </w:pPr>
      <w:r>
        <w:t>Subject and grade-level profiles</w:t>
      </w:r>
    </w:p>
    <w:p>
      <w:pPr>
        <w:pStyle w:val="ListBullet"/>
      </w:pPr>
      <w:r>
        <w:t>Progress tracking and quiz scoring</w:t>
      </w:r>
    </w:p>
    <w:p>
      <w:pPr>
        <w:pStyle w:val="ListBullet"/>
      </w:pPr>
      <w:r>
        <w:t>Teacher dashboard and classroom sharing</w:t>
      </w:r>
    </w:p>
    <w:p>
      <w:pPr>
        <w:pStyle w:val="ListBullet"/>
      </w:pPr>
      <w:r>
        <w:t>Document/PDF ingestion with citation support</w:t>
      </w:r>
    </w:p>
    <w:p>
      <w:pPr>
        <w:pStyle w:val="ListBullet"/>
      </w:pPr>
      <w:r>
        <w:t>Multilingual explanations</w:t>
      </w:r>
    </w:p>
    <w:p>
      <w:pPr>
        <w:pStyle w:val="ListBullet"/>
      </w:pPr>
      <w:r>
        <w:t>Rate limiting, caching, and usage analytics</w:t>
      </w:r>
    </w:p>
    <w:p>
      <w:pPr>
        <w:pStyle w:val="ListBullet"/>
      </w:pPr>
      <w:r>
        <w:t>Human-reviewed educational content safeguards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