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Техническое задание</w:t>
      </w:r>
    </w:p>
    <w:p>
      <w:pPr>
        <w:jc w:val="center"/>
      </w:pPr>
      <w:r>
        <w:t>04.09.01. ЧТЗ. Сервис идентификации и доступа TSL Auth</w:t>
      </w:r>
    </w:p>
    <w:p>
      <w:pPr>
        <w:jc w:val="center"/>
      </w:pPr>
      <w:r>
        <w:t>ERP «Уклад»: компонент «Управление идентификацией»</w:t>
      </w:r>
    </w:p>
    <w:p>
      <w:pPr>
        <w:jc w:val="center"/>
      </w:pPr>
      <w:r>
        <w:t>Версия 2.3 от 30.09.2026</w:t>
      </w:r>
    </w:p>
    <w:p>
      <w:pPr>
        <w:jc w:val="center"/>
      </w:pPr>
      <w:r>
        <w:t>Статус: проект для согласования</w:t>
      </w:r>
    </w:p>
    <w:p>
      <w:pPr>
        <w:jc w:val="center"/>
      </w:pPr>
      <w:r>
        <w:t>Составлено по шаблону ЧТЗ базы знаний UKA (07.01).</w:t>
      </w:r>
    </w:p>
    <w:p/>
    <w:p>
      <w:r>
        <w:t>Документ — частное техническое задание ERP «Уклад» на компонент «Управление идентификацией» (общее ТЗ, разделы 03.01, 04.02, 04.09, 04.15). Структура — по шаблону ЧТЗ (07.01). Документ отвечает на вопрос A02 архитектурного ЧТЗ 04.02.01: проверяет tsl-auth относительно OIDC-профиля общего ТЗ, минимальных полномочий, административного доступа, прекращения прав и восстановления собственного состояния.</w:t>
      </w:r>
    </w:p>
    <w:p>
      <w:r>
        <w:t xml:space="preserve">Версия для согласования в Word: TZ-tsl-auth.docx (собирается </w:t>
      </w:r>
      <w:r>
        <w:rPr>
          <w:rFonts w:ascii="Consolas" w:hAnsi="Consolas"/>
          <w:sz w:val="18"/>
        </w:rPr>
        <w:t>python scripts/build-tz-docx.py</w:t>
      </w:r>
      <w:r>
        <w:t>).</w:t>
      </w:r>
    </w:p>
    <w:p>
      <w:r>
        <w:t>У каждого требования указан статус: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986"/>
          </w:tcPr>
          <w:p>
            <w:r/>
            <w:r>
              <w:t>есть</w:t>
            </w:r>
          </w:p>
        </w:tc>
        <w:tc>
          <w:tcPr>
            <w:tcW w:type="dxa" w:w="4986"/>
          </w:tcPr>
          <w:p>
            <w:r/>
            <w:r>
              <w:t>Реализовано в текущей версии и проверяется автотестами</w:t>
            </w:r>
          </w:p>
        </w:tc>
      </w:tr>
      <w:tr>
        <w:tc>
          <w:tcPr>
            <w:tcW w:type="dxa" w:w="4986"/>
          </w:tcPr>
          <w:p>
            <w:r/>
            <w:r>
              <w:t>1-я очередь</w:t>
            </w:r>
          </w:p>
        </w:tc>
        <w:tc>
          <w:tcPr>
            <w:tcW w:type="dxa" w:w="4986"/>
          </w:tcPr>
          <w:p>
            <w:r/>
            <w:r>
              <w:t>Доработка tsl-auth до пилота первой очереди ERP</w:t>
            </w:r>
          </w:p>
        </w:tc>
      </w:tr>
      <w:tr>
        <w:tc>
          <w:tcPr>
            <w:tcW w:type="dxa" w:w="4986"/>
          </w:tcPr>
          <w:p>
            <w:r/>
            <w:r>
              <w:t>ядро ERP</w:t>
            </w:r>
          </w:p>
        </w:tc>
        <w:tc>
          <w:tcPr>
            <w:tcW w:type="dxa" w:w="4986"/>
          </w:tcPr>
          <w:p>
            <w:r/>
            <w:r>
              <w:t>Выполняется операционным ядром ERP; tsl-auth передаёт нужные данные</w:t>
            </w:r>
          </w:p>
        </w:tc>
      </w:tr>
      <w:tr>
        <w:tc>
          <w:tcPr>
            <w:tcW w:type="dxa" w:w="4986"/>
          </w:tcPr>
          <w:p>
            <w:r/>
            <w:r>
              <w:t>не требуется</w:t>
            </w:r>
          </w:p>
        </w:tc>
        <w:tc>
          <w:tcPr>
            <w:tcW w:type="dxa" w:w="4986"/>
          </w:tcPr>
          <w:p>
            <w:r/>
            <w:r>
              <w:t>Исключено решением заказчика (раздел 18)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000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0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1. Базовая архитектура ТСЛ: Авторизатор реализован сервисом TSL Auth</w:t>
      </w:r>
    </w:p>
    <w:p>
      <w:pPr>
        <w:pStyle w:val="Heading1"/>
      </w:pPr>
      <w:r>
        <w:t>1. Назначение и границы</w:t>
      </w:r>
    </w:p>
    <w:p>
      <w:r>
        <w:t>TSL Auth выполняет единую идентификацию и аутентификацию пользователей и технических клиентов ERP по OAuth 2.0 / OpenID Connect. Сервис хранит учётные записи, роли приложений, матрицы «роль × разрешение» и выдаёт подписанные токены. Прикладные системы проверяют токен локально и не хранят паролей.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986"/>
          </w:tcPr>
          <w:p>
            <w:r/>
            <w:r>
              <w:t>Место в архитектуре ERP</w:t>
            </w:r>
          </w:p>
        </w:tc>
        <w:tc>
          <w:tcPr>
            <w:tcW w:type="dxa" w:w="4986"/>
          </w:tcPr>
          <w:p>
            <w:r/>
            <w:r>
              <w:t>Компонент «Управление идентификацией» (04.02); в базовой архитектуре ТСЛ — «Авторизатор»</w:t>
            </w:r>
          </w:p>
        </w:tc>
      </w:tr>
      <w:tr>
        <w:tc>
          <w:tcPr>
            <w:tcW w:type="dxa" w:w="4986"/>
          </w:tcPr>
          <w:p>
            <w:r/>
            <w:r>
              <w:t>Исходный код</w:t>
            </w:r>
          </w:p>
        </w:tc>
        <w:tc>
          <w:tcPr>
            <w:tcW w:type="dxa" w:w="4986"/>
          </w:tcPr>
          <w:p>
            <w:r/>
            <w:r>
              <w:t>https://gitflic.ru/project/uklad/tsl-auth (основной репозиторий, сборка и реестры); зеркало — https://github.com/akprof2000/tsl-auth; лицензия MIT</w:t>
            </w:r>
          </w:p>
        </w:tc>
      </w:tr>
      <w:tr>
        <w:tc>
          <w:tcPr>
            <w:tcW w:type="dxa" w:w="4986"/>
          </w:tcPr>
          <w:p>
            <w:r/>
            <w:r>
              <w:t>Поставка</w:t>
            </w:r>
          </w:p>
        </w:tc>
        <w:tc>
          <w:tcPr>
            <w:tcW w:type="dxa" w:w="4986"/>
          </w:tcPr>
          <w:p>
            <w:r/>
            <w:r>
              <w:t xml:space="preserve">Docker-образ </w:t>
            </w:r>
            <w:r>
              <w:rPr>
                <w:rFonts w:ascii="Consolas" w:hAnsi="Consolas"/>
                <w:sz w:val="18"/>
              </w:rPr>
              <w:t>akprof2000/tsl-auth</w:t>
            </w:r>
            <w:r>
              <w:t xml:space="preserve"> (Docker Hub, GHCR), подписанный cosign</w:t>
            </w:r>
          </w:p>
        </w:tc>
      </w:tr>
      <w:tr>
        <w:tc>
          <w:tcPr>
            <w:tcW w:type="dxa" w:w="4986"/>
          </w:tcPr>
          <w:p>
            <w:r/>
            <w:r>
              <w:t>Технологии</w:t>
            </w:r>
          </w:p>
        </w:tc>
        <w:tc>
          <w:tcPr>
            <w:tcW w:type="dxa" w:w="4986"/>
          </w:tcPr>
          <w:p>
            <w:r/>
            <w:r>
              <w:t>.NET 10, ASP.NET Core, OpenIddict 7, ASP.NET Core Identity, EF Core; SQLite или PostgreSQL 14+</w:t>
            </w:r>
          </w:p>
        </w:tc>
      </w:tr>
      <w:tr>
        <w:tc>
          <w:tcPr>
            <w:tcW w:type="dxa" w:w="4986"/>
          </w:tcPr>
          <w:p>
            <w:r/>
            <w:r>
              <w:t>Очередь</w:t>
            </w:r>
          </w:p>
        </w:tc>
        <w:tc>
          <w:tcPr>
            <w:tcW w:type="dxa" w:w="4986"/>
          </w:tcPr>
          <w:p>
            <w:r/>
            <w:r>
              <w:t>Первая: вход пользователей ERP, технические клиенты Flowable, обработчиков обмена, DWH и импорта из 1С</w:t>
            </w:r>
          </w:p>
        </w:tc>
      </w:tr>
    </w:tbl>
    <w:p/>
    <w:p>
      <w:r>
        <w:t>Принятое решение. Граница ответственности: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Входит в tsl-auth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Не входит в tsl-auth</w:t>
            </w:r>
          </w:p>
        </w:tc>
      </w:tr>
      <w:tr>
        <w:tc>
          <w:tcPr>
            <w:tcW w:type="dxa" w:w="4986"/>
          </w:tcPr>
          <w:p>
            <w:r/>
            <w:r>
              <w:t>Учётные записи, пароли, блокировка, двухфакторный вход, выход, сессии</w:t>
            </w:r>
          </w:p>
        </w:tc>
        <w:tc>
          <w:tcPr>
            <w:tcW w:type="dxa" w:w="4986"/>
          </w:tcPr>
          <w:p>
            <w:r/>
            <w:r>
              <w:t>Организационная и финансовая иерархия (ядро ERP)</w:t>
            </w:r>
          </w:p>
        </w:tc>
      </w:tr>
      <w:tr>
        <w:tc>
          <w:tcPr>
            <w:tcW w:type="dxa" w:w="4986"/>
          </w:tcPr>
          <w:p>
            <w:r/>
            <w:r>
              <w:t>Роли и разрешения на уровне операций приложения</w:t>
            </w:r>
          </w:p>
        </w:tc>
        <w:tc>
          <w:tcPr>
            <w:tcW w:type="dxa" w:w="4986"/>
          </w:tcPr>
          <w:p>
            <w:r/>
            <w:r>
              <w:t>Области доступа по организациям, подразделениям, ЦФО, проектам и объектам: применяются ядром ERP при выборке данных</w:t>
            </w:r>
          </w:p>
        </w:tc>
      </w:tr>
      <w:tr>
        <w:tc>
          <w:tcPr>
            <w:tcW w:type="dxa" w:w="4986"/>
          </w:tcPr>
          <w:p>
            <w:r/>
            <w:r>
              <w:t>Токены для пользователей и технических клиентов</w:t>
            </w:r>
          </w:p>
        </w:tc>
        <w:tc>
          <w:tcPr>
            <w:tcW w:type="dxa" w:w="4986"/>
          </w:tcPr>
          <w:p>
            <w:r/>
            <w:r>
              <w:t>Маскирование чувствительных полей в формах и отчётах ERP</w:t>
            </w:r>
          </w:p>
        </w:tc>
      </w:tr>
      <w:tr>
        <w:tc>
          <w:tcPr>
            <w:tcW w:type="dxa" w:w="4986"/>
          </w:tcPr>
          <w:p>
            <w:r/>
            <w:r>
              <w:t>Журнал безопасности входов, учётных записей и назначений</w:t>
            </w:r>
          </w:p>
        </w:tc>
        <w:tc>
          <w:tcPr>
            <w:tcW w:type="dxa" w:w="4986"/>
          </w:tcPr>
          <w:p>
            <w:r/>
            <w:r>
              <w:t>Аудит бизнес-действий с документами ERP (04.15, ядро ERP)</w:t>
            </w:r>
          </w:p>
        </w:tc>
      </w:tr>
    </w:tbl>
    <w:p/>
    <w:p>
      <w:r>
        <w:t>Принятое решение (В-1): области доступа хранятся в отдельной базе ядра ERP рядом с оргструктурой; tsl-auth их не хранит и в токене не передаёт.</w:t>
      </w:r>
    </w:p>
    <w:p>
      <w:pPr>
        <w:pStyle w:val="Heading1"/>
      </w:pPr>
      <w:r>
        <w:t>2. Пользователи и роли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123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eba03fc3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12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2. 2. Пользователи и роли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Роль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Действия в tsl-auth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Роль ERP (03.01)</w:t>
            </w:r>
          </w:p>
        </w:tc>
      </w:tr>
      <w:tr>
        <w:tc>
          <w:tcPr>
            <w:tcW w:type="dxa" w:w="3324"/>
          </w:tcPr>
          <w:p>
            <w:r/>
            <w:r>
              <w:t>Пользователь ERP</w:t>
            </w:r>
          </w:p>
        </w:tc>
        <w:tc>
          <w:tcPr>
            <w:tcW w:type="dxa" w:w="3324"/>
          </w:tcPr>
          <w:p>
            <w:r/>
            <w:r>
              <w:t>Входит, меняет и сбрасывает пароль, запрашивает роль</w:t>
            </w:r>
          </w:p>
        </w:tc>
        <w:tc>
          <w:tcPr>
            <w:tcW w:type="dxa" w:w="3324"/>
          </w:tcPr>
          <w:p>
            <w:r/>
            <w:r>
              <w:t>Функциональный пользователь, руководитель ЦФО и другие бизнес-роли</w:t>
            </w:r>
          </w:p>
        </w:tc>
      </w:tr>
      <w:tr>
        <w:tc>
          <w:tcPr>
            <w:tcW w:type="dxa" w:w="3324"/>
          </w:tcPr>
          <w:p>
            <w:r/>
            <w:r>
              <w:t>Администратор доступа</w:t>
            </w:r>
          </w:p>
        </w:tc>
        <w:tc>
          <w:tcPr>
            <w:tcW w:type="dxa" w:w="3324"/>
          </w:tcPr>
          <w:p>
            <w:r/>
            <w:r>
              <w:t>Регистрирует приложения, ведёт матрицы, назначает роли, одобряет заявки</w:t>
            </w:r>
          </w:p>
        </w:tc>
        <w:tc>
          <w:tcPr>
            <w:tcW w:type="dxa" w:w="3324"/>
          </w:tcPr>
          <w:p>
            <w:r/>
            <w:r>
              <w:t>Функциональный администратор</w:t>
            </w:r>
          </w:p>
        </w:tc>
      </w:tr>
      <w:tr>
        <w:tc>
          <w:tcPr>
            <w:tcW w:type="dxa" w:w="3324"/>
          </w:tcPr>
          <w:p>
            <w:r/>
            <w:r>
              <w:t>Аудитор</w:t>
            </w:r>
          </w:p>
        </w:tc>
        <w:tc>
          <w:tcPr>
            <w:tcW w:type="dxa" w:w="3324"/>
          </w:tcPr>
          <w:p>
            <w:r/>
            <w:r>
              <w:t>Просматривает админку и журнал без права изменения</w:t>
            </w:r>
          </w:p>
        </w:tc>
        <w:tc>
          <w:tcPr>
            <w:tcW w:type="dxa" w:w="3324"/>
          </w:tcPr>
          <w:p>
            <w:r/>
            <w:r>
              <w:t>Аудитор</w:t>
            </w:r>
          </w:p>
        </w:tc>
      </w:tr>
      <w:tr>
        <w:tc>
          <w:tcPr>
            <w:tcW w:type="dxa" w:w="3324"/>
          </w:tcPr>
          <w:p>
            <w:r/>
            <w:r>
              <w:t>Офицер безопасности</w:t>
            </w:r>
          </w:p>
        </w:tc>
        <w:tc>
          <w:tcPr>
            <w:tcW w:type="dxa" w:w="3324"/>
          </w:tcPr>
          <w:p>
            <w:r/>
            <w:r>
              <w:t>Через бота блокирует учётные записи и требует смену пароля</w:t>
            </w:r>
          </w:p>
        </w:tc>
        <w:tc>
          <w:tcPr>
            <w:tcW w:type="dxa" w:w="3324"/>
          </w:tcPr>
          <w:p>
            <w:r/>
            <w:r>
              <w:t>Функциональный администратор (безопасность)</w:t>
            </w:r>
          </w:p>
        </w:tc>
      </w:tr>
      <w:tr>
        <w:tc>
          <w:tcPr>
            <w:tcW w:type="dxa" w:w="3324"/>
          </w:tcPr>
          <w:p>
            <w:r/>
            <w:r>
              <w:t>Технический администратор</w:t>
            </w:r>
          </w:p>
        </w:tc>
        <w:tc>
          <w:tcPr>
            <w:tcW w:type="dxa" w:w="3324"/>
          </w:tcPr>
          <w:p>
            <w:r/>
            <w:r>
              <w:t>Разворачивает, обновляет и восстанавливает сервис; доступа к ролям пользователей не получает</w:t>
            </w:r>
          </w:p>
        </w:tc>
        <w:tc>
          <w:tcPr>
            <w:tcW w:type="dxa" w:w="3324"/>
          </w:tcPr>
          <w:p>
            <w:r/>
            <w:r>
              <w:t>Технический администратор</w:t>
            </w:r>
          </w:p>
        </w:tc>
      </w:tr>
      <w:tr>
        <w:tc>
          <w:tcPr>
            <w:tcW w:type="dxa" w:w="3324"/>
          </w:tcPr>
          <w:p>
            <w:r/>
            <w:r>
              <w:t>Технический клиент</w:t>
            </w:r>
          </w:p>
        </w:tc>
        <w:tc>
          <w:tcPr>
            <w:tcW w:type="dxa" w:w="3324"/>
          </w:tcPr>
          <w:p>
            <w:r/>
            <w:r>
              <w:t>Получает токен по client credentials с минимальными полномочиями</w:t>
            </w:r>
          </w:p>
        </w:tc>
        <w:tc>
          <w:tcPr>
            <w:tcW w:type="dxa" w:w="3324"/>
          </w:tcPr>
          <w:p>
            <w:r/>
            <w:r>
              <w:t>Flowable, обработчики обмена, DWH, импорт из 1С</w:t>
            </w:r>
          </w:p>
        </w:tc>
      </w:tr>
    </w:tbl>
    <w:p/>
    <w:p>
      <w:r>
        <w:t xml:space="preserve">Права администрирования самого сервиса задаются матрицей системного приложения </w:t>
      </w:r>
      <w:r>
        <w:rPr>
          <w:rFonts w:ascii="Consolas" w:hAnsi="Consolas"/>
          <w:sz w:val="18"/>
        </w:rPr>
        <w:t>tsl-auth-admin</w:t>
      </w:r>
      <w:r>
        <w:t xml:space="preserve">: </w:t>
      </w:r>
      <w:r>
        <w:rPr>
          <w:rFonts w:ascii="Consolas" w:hAnsi="Consolas"/>
          <w:sz w:val="18"/>
        </w:rPr>
        <w:t>administrator</w:t>
      </w:r>
      <w:r>
        <w:t xml:space="preserve">, </w:t>
      </w:r>
      <w:r>
        <w:rPr>
          <w:rFonts w:ascii="Consolas" w:hAnsi="Consolas"/>
          <w:sz w:val="18"/>
        </w:rPr>
        <w:t>auditor</w:t>
      </w:r>
      <w:r>
        <w:t xml:space="preserve">, </w:t>
      </w:r>
      <w:r>
        <w:rPr>
          <w:rFonts w:ascii="Consolas" w:hAnsi="Consolas"/>
          <w:sz w:val="18"/>
        </w:rPr>
        <w:t>notifier</w:t>
      </w:r>
      <w:r>
        <w:t xml:space="preserve">, </w:t>
      </w:r>
      <w:r>
        <w:rPr>
          <w:rFonts w:ascii="Consolas" w:hAnsi="Consolas"/>
          <w:sz w:val="18"/>
        </w:rPr>
        <w:t>reset-bot</w:t>
      </w:r>
      <w:r>
        <w:t xml:space="preserve">, </w:t>
      </w:r>
      <w:r>
        <w:rPr>
          <w:rFonts w:ascii="Consolas" w:hAnsi="Consolas"/>
          <w:sz w:val="18"/>
        </w:rPr>
        <w:t>security-bot</w:t>
      </w:r>
      <w:r>
        <w:t xml:space="preserve">, </w:t>
      </w:r>
      <w:r>
        <w:rPr>
          <w:rFonts w:ascii="Consolas" w:hAnsi="Consolas"/>
          <w:sz w:val="18"/>
        </w:rPr>
        <w:t>security-officer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875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l-auth-appl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75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 TSL Auth: прикладной уровень (ArchiMate)</w:t>
      </w:r>
    </w:p>
    <w:p>
      <w:pPr>
        <w:pStyle w:val="Heading1"/>
      </w:pPr>
      <w:r>
        <w:t>3. Процессы и сценарии</w:t>
      </w:r>
    </w:p>
    <w:p>
      <w:r>
        <w:t>Основные сценарии:</w:t>
      </w:r>
    </w:p>
    <w:p>
      <w:pPr>
        <w:pStyle w:val="ListNumber"/>
      </w:pPr>
      <w:r>
        <w:t>Вход пользователя в приложение ERP по authorization code + PKCE.</w:t>
      </w:r>
    </w:p>
    <w:p>
      <w:pPr>
        <w:pStyle w:val="ListNumber"/>
      </w:pPr>
      <w:r>
        <w:t>Вызов API сервиса другим сервисом: client credentials; вызов от имени пользователя — token exchange.</w:t>
      </w:r>
    </w:p>
    <w:p>
      <w:pPr>
        <w:pStyle w:val="ListNumber"/>
      </w:pPr>
      <w:r>
        <w:t>Создание учётной записи администратором: с паролем, временным паролем или приглашением.</w:t>
      </w:r>
    </w:p>
    <w:p>
      <w:pPr>
        <w:pStyle w:val="ListNumber"/>
      </w:pPr>
      <w:r>
        <w:t>Саморегистрация с заявкой на роль; заявку одобряет администратор, приложение или бот.</w:t>
      </w:r>
    </w:p>
    <w:p>
      <w:pPr>
        <w:pStyle w:val="ListNumber"/>
      </w:pPr>
      <w:r>
        <w:t>Сброс пароля по email или через бота.</w:t>
      </w:r>
    </w:p>
    <w:p>
      <w:pPr>
        <w:pStyle w:val="ListNumber"/>
      </w:pPr>
      <w:r>
        <w:t>Блокировка учётной записи офицером безопасности через бота.</w:t>
      </w:r>
    </w:p>
    <w:p>
      <w:pPr>
        <w:pStyle w:val="ListNumber"/>
      </w:pPr>
      <w:r>
        <w:t>Прекращение доступа при увольнении или смене роли.</w:t>
      </w:r>
    </w:p>
    <w:p>
      <w:pPr>
        <w:pStyle w:val="ListNumber"/>
      </w:pPr>
      <w:r>
        <w:t>Двухфакторный вход: пароль → код с почты или из мессенджера (для ролей с флагом 2FA).</w:t>
      </w:r>
    </w:p>
    <w:p>
      <w:pPr>
        <w:pStyle w:val="ListNumber"/>
      </w:pPr>
      <w:r>
        <w:t>Автоматическое отключение учётной записи без входа 90 дней (кроме администраторов сервиса).</w:t>
      </w:r>
    </w:p>
    <w:p>
      <w:pPr>
        <w:pStyle w:val="ListNumber"/>
      </w:pPr>
      <w:r>
        <w:t>Подчинённые клиенты: сервис-владелец (например, Import API) по команде оператора заводит технического клиента</w:t>
      </w:r>
    </w:p>
    <w:p>
      <w:r>
        <w:t>агента через App API в рамках политики администратора; агент входит по ключу (</w:t>
      </w:r>
      <w:r>
        <w:rPr>
          <w:rFonts w:ascii="Consolas" w:hAnsi="Consolas"/>
          <w:sz w:val="18"/>
        </w:rPr>
        <w:t>private_key_jwt</w:t>
      </w:r>
      <w:r>
        <w:t>), а не по секрету; отключение агента действует на выдачу токенов во всех сервисах.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21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107b261cf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21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4. 3. Процессы и сценарии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396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4f7e431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9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5. 3. Процессы и сценарии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791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361c4c3cd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7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6. 3. Процессы и сценарии</w:t>
      </w:r>
    </w:p>
    <w:p>
      <w:r>
        <w:t xml:space="preserve">Исключительные сценарии: неверный пароль (счётчик попыток, временная блокировка), истёкший пароль (принудительная смена), отключённая учётная запись (отказ во входе, отзыв сессий), недоступность БД (узел остаётся живым, </w:t>
      </w:r>
      <w:r>
        <w:rPr>
          <w:rFonts w:ascii="Consolas" w:hAnsi="Consolas"/>
          <w:sz w:val="18"/>
        </w:rPr>
        <w:t>/health/ready</w:t>
      </w:r>
      <w:r>
        <w:t xml:space="preserve"> сообщает об отказе), повреждённая схема БД (самовосстановление, раздел 15).</w:t>
      </w:r>
    </w:p>
    <w:p>
      <w:pPr>
        <w:pStyle w:val="Heading1"/>
      </w:pPr>
      <w:r>
        <w:t>4. Объекты и справочники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5535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234784f83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53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7. 4. Объекты и справочники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Объект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Мастер-система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Место первичного ввода</w:t>
            </w:r>
          </w:p>
        </w:tc>
      </w:tr>
      <w:tr>
        <w:tc>
          <w:tcPr>
            <w:tcW w:type="dxa" w:w="3324"/>
          </w:tcPr>
          <w:p>
            <w:r/>
            <w:r>
              <w:t>Учётная запись пользователя</w:t>
            </w:r>
          </w:p>
        </w:tc>
        <w:tc>
          <w:tcPr>
            <w:tcW w:type="dxa" w:w="3324"/>
          </w:tcPr>
          <w:p>
            <w:r/>
            <w:r>
              <w:t>tsl-auth</w:t>
            </w:r>
          </w:p>
        </w:tc>
        <w:tc>
          <w:tcPr>
            <w:tcW w:type="dxa" w:w="3324"/>
          </w:tcPr>
          <w:p>
            <w:r/>
            <w:r>
              <w:t>Админка, Admin API, саморегистрация; после В-3 — кадровое событие 1С:ЗУП</w:t>
            </w:r>
          </w:p>
        </w:tc>
      </w:tr>
      <w:tr>
        <w:tc>
          <w:tcPr>
            <w:tcW w:type="dxa" w:w="3324"/>
          </w:tcPr>
          <w:p>
            <w:r/>
            <w:r>
              <w:t>Сотрудник, должность, подразделение</w:t>
            </w:r>
          </w:p>
        </w:tc>
        <w:tc>
          <w:tcPr>
            <w:tcW w:type="dxa" w:w="3324"/>
          </w:tcPr>
          <w:p>
            <w:r/>
            <w:r>
              <w:t>1С:ЗУП через ERP</w:t>
            </w:r>
          </w:p>
        </w:tc>
        <w:tc>
          <w:tcPr>
            <w:tcW w:type="dxa" w:w="3324"/>
          </w:tcPr>
          <w:p>
            <w:r/>
            <w:r>
              <w:t>1С:ЗУП</w:t>
            </w:r>
          </w:p>
        </w:tc>
      </w:tr>
      <w:tr>
        <w:tc>
          <w:tcPr>
            <w:tcW w:type="dxa" w:w="3324"/>
          </w:tcPr>
          <w:p>
            <w:r/>
            <w:r>
              <w:t>Приложение (клиент OIDC)</w:t>
            </w:r>
          </w:p>
        </w:tc>
        <w:tc>
          <w:tcPr>
            <w:tcW w:type="dxa" w:w="3324"/>
          </w:tcPr>
          <w:p>
            <w:r/>
            <w:r>
              <w:t>tsl-auth</w:t>
            </w:r>
          </w:p>
        </w:tc>
        <w:tc>
          <w:tcPr>
            <w:tcW w:type="dxa" w:w="3324"/>
          </w:tcPr>
          <w:p>
            <w:r/>
            <w:r>
              <w:t>Админка, Admin API</w:t>
            </w:r>
          </w:p>
        </w:tc>
      </w:tr>
      <w:tr>
        <w:tc>
          <w:tcPr>
            <w:tcW w:type="dxa" w:w="3324"/>
          </w:tcPr>
          <w:p>
            <w:r/>
            <w:r>
              <w:t>Роль, разрешение, матрица</w:t>
            </w:r>
          </w:p>
        </w:tc>
        <w:tc>
          <w:tcPr>
            <w:tcW w:type="dxa" w:w="3324"/>
          </w:tcPr>
          <w:p>
            <w:r/>
            <w:r>
              <w:t>tsl-auth</w:t>
            </w:r>
          </w:p>
        </w:tc>
        <w:tc>
          <w:tcPr>
            <w:tcW w:type="dxa" w:w="3324"/>
          </w:tcPr>
          <w:p>
            <w:r/>
            <w:r>
              <w:t>Админка, Admin API, App API приложения</w:t>
            </w:r>
          </w:p>
        </w:tc>
      </w:tr>
      <w:tr>
        <w:tc>
          <w:tcPr>
            <w:tcW w:type="dxa" w:w="3324"/>
          </w:tcPr>
          <w:p>
            <w:r/>
            <w:r>
              <w:t>Назначение роли</w:t>
            </w:r>
          </w:p>
        </w:tc>
        <w:tc>
          <w:tcPr>
            <w:tcW w:type="dxa" w:w="3324"/>
          </w:tcPr>
          <w:p>
            <w:r/>
            <w:r>
              <w:t>tsl-auth</w:t>
            </w:r>
          </w:p>
        </w:tc>
        <w:tc>
          <w:tcPr>
            <w:tcW w:type="dxa" w:w="3324"/>
          </w:tcPr>
          <w:p>
            <w:r/>
            <w:r>
              <w:t>Админка, Admin API, одобрение заявки</w:t>
            </w:r>
          </w:p>
        </w:tc>
      </w:tr>
      <w:tr>
        <w:tc>
          <w:tcPr>
            <w:tcW w:type="dxa" w:w="3324"/>
          </w:tcPr>
          <w:p>
            <w:r/>
            <w:r>
              <w:t>Область доступа</w:t>
            </w:r>
          </w:p>
        </w:tc>
        <w:tc>
          <w:tcPr>
            <w:tcW w:type="dxa" w:w="3324"/>
          </w:tcPr>
          <w:p>
            <w:r/>
            <w:r>
              <w:t>ядро ERP (отдельная база)</w:t>
            </w:r>
          </w:p>
        </w:tc>
        <w:tc>
          <w:tcPr>
            <w:tcW w:type="dxa" w:w="3324"/>
          </w:tcPr>
          <w:p>
            <w:r/>
            <w:r>
              <w:t>ERP</w:t>
            </w:r>
          </w:p>
        </w:tc>
      </w:tr>
    </w:tbl>
    <w:p/>
    <w:p>
      <w:pPr>
        <w:pStyle w:val="Heading1"/>
      </w:pPr>
      <w:r>
        <w:t>5. Статусы и переходы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548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feed3e64c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8. 5. Статусы и переходы</w:t>
      </w:r>
    </w:p>
    <w:p>
      <w:r>
        <w:t>Отключение учётной записи сразу отзывает все её сессии и refresh-токены на всех узлах.</w:t>
      </w:r>
    </w:p>
    <w:p>
      <w:pPr>
        <w:pStyle w:val="Heading1"/>
      </w:pPr>
      <w:r>
        <w:t>6. Функциональные требования</w:t>
      </w:r>
    </w:p>
    <w:p>
      <w:pPr>
        <w:pStyle w:val="Heading2"/>
      </w:pPr>
      <w:r>
        <w:t>6.1. Протоколы и токены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Ф-1</w:t>
            </w:r>
          </w:p>
        </w:tc>
        <w:tc>
          <w:tcPr>
            <w:tcW w:type="dxa" w:w="3324"/>
          </w:tcPr>
          <w:p>
            <w:r/>
            <w:r>
              <w:t>Сервис выполняет OAuth 2.0 / OIDC: authorization code + PKCE (S256 обязателен), client credentials, refresh с ротацией, token exchange (RFC 8693), introspection, revocation, userinfo, logout, discovery, JWKS. Grant password оставлен для унаследованных клиентов и включается для приложения отдельно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</w:t>
            </w:r>
          </w:p>
        </w:tc>
        <w:tc>
          <w:tcPr>
            <w:tcW w:type="dxa" w:w="3324"/>
          </w:tcPr>
          <w:p>
            <w:r/>
            <w:r>
              <w:t xml:space="preserve">Access-токен — JWT RS256. Claims </w:t>
            </w:r>
            <w:r>
              <w:rPr>
                <w:rFonts w:ascii="Consolas" w:hAnsi="Consolas"/>
                <w:sz w:val="18"/>
              </w:rPr>
              <w:t>role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&lt;client_id&gt;:&lt;разрешение&gt;</w:t>
            </w:r>
            <w:r>
              <w:t xml:space="preserve">) и </w:t>
            </w:r>
            <w:r>
              <w:rPr>
                <w:rFonts w:ascii="Consolas" w:hAnsi="Consolas"/>
                <w:sz w:val="18"/>
              </w:rPr>
              <w:t>resource_access</w:t>
            </w:r>
            <w:r>
              <w:t xml:space="preserve"> совместимы с Keycloak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Ф-3</w:t>
            </w:r>
          </w:p>
        </w:tc>
        <w:tc>
          <w:tcPr>
            <w:tcW w:type="dxa" w:w="3324"/>
          </w:tcPr>
          <w:p>
            <w:r/>
            <w:r>
              <w:t>Сроки жизни задаются глобально и для приложения; клиент может их только сократить. По умолчанию: access и id — 15 мин, refresh — 14 дней, код авторизации — 5 мин, абсолютный срок сессии — 90 дней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Ф-4</w:t>
            </w:r>
          </w:p>
        </w:tc>
        <w:tc>
          <w:tcPr>
            <w:tcW w:type="dxa" w:w="3324"/>
          </w:tcPr>
          <w:p>
            <w:r/>
            <w:r>
              <w:t>Изменение прав применяется со следующего refresh, не позднее срока жизни access-токена. Отзыв сессии действует на всех узлах сразу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Ф-5</w:t>
            </w:r>
          </w:p>
        </w:tc>
        <w:tc>
          <w:tcPr>
            <w:tcW w:type="dxa" w:w="3324"/>
          </w:tcPr>
          <w:p>
            <w:r/>
            <w:r>
              <w:t>Персональный токен доступа (PAT) для скриптов не превышает текущих прав владельца и отзывается вместе с отключением учётной записи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6.2. Роли и полномочия (03.01, 04.09)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Ф-6</w:t>
            </w:r>
          </w:p>
        </w:tc>
        <w:tc>
          <w:tcPr>
            <w:tcW w:type="dxa" w:w="3324"/>
          </w:tcPr>
          <w:p>
            <w:r/>
            <w:r>
              <w:t>У каждого приложения есть разрешения на уровне операций (ввод, просмотр, проведение, формирование отчётов, удаление), роли и матрица «роль × разрешение». Роль имеет техническое имя для токена и название для людей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Ф-7</w:t>
            </w:r>
          </w:p>
        </w:tc>
        <w:tc>
          <w:tcPr>
            <w:tcW w:type="dxa" w:w="3324"/>
          </w:tcPr>
          <w:p>
            <w:r/>
            <w:r>
              <w:t>Роли назначаются пользователям и техническим клиентам. Одна учётная запись имеет роли в нескольких приложениях; итоговые разрешения — объединение разрешений ролей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Ф-8</w:t>
            </w:r>
          </w:p>
        </w:tc>
        <w:tc>
          <w:tcPr>
            <w:tcW w:type="dxa" w:w="3324"/>
          </w:tcPr>
          <w:p>
            <w:r/>
            <w:r>
              <w:t>Роль помечается как запрашиваемая: пользователь запрашивает её при регистрации или заявкой; назначение выполняется только после одобрения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Ф-9</w:t>
            </w:r>
          </w:p>
        </w:tc>
        <w:tc>
          <w:tcPr>
            <w:tcW w:type="dxa" w:w="3324"/>
          </w:tcPr>
          <w:p>
            <w:r/>
            <w:r>
              <w:t>Назначение роли имеет период действия (с, по). По окончании периода сервис снимает роль, отзывает refresh-токены и пишет событие в журнал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Ф-10</w:t>
            </w:r>
          </w:p>
        </w:tc>
        <w:tc>
          <w:tcPr>
            <w:tcW w:type="dxa" w:w="3324"/>
          </w:tcPr>
          <w:p>
            <w:r/>
            <w:r>
              <w:t>Несовместимые роли не проверяются: доступ задаётся матрицей «роль × разрешение» приложения, пары несовместимых ролей заказчиком не определены (решение В-8)</w:t>
            </w:r>
          </w:p>
        </w:tc>
        <w:tc>
          <w:tcPr>
            <w:tcW w:type="dxa" w:w="3324"/>
          </w:tcPr>
          <w:p>
            <w:r/>
            <w:r>
              <w:t>не требуется</w:t>
            </w:r>
          </w:p>
        </w:tc>
      </w:tr>
      <w:tr>
        <w:tc>
          <w:tcPr>
            <w:tcW w:type="dxa" w:w="3324"/>
          </w:tcPr>
          <w:p>
            <w:r/>
            <w:r>
              <w:t>Ф-11</w:t>
            </w:r>
          </w:p>
        </w:tc>
        <w:tc>
          <w:tcPr>
            <w:tcW w:type="dxa" w:w="3324"/>
          </w:tcPr>
          <w:p>
            <w:r/>
            <w:r>
              <w:t>Замещение назначает только администратор доступа: пользователь получает роли другого пользователя на указанный период. В токене замещающего передаётся claim с идентификатором замещаемого. По окончании периода роли снимаются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Ф-12</w:t>
            </w:r>
          </w:p>
        </w:tc>
        <w:tc>
          <w:tcPr>
            <w:tcW w:type="dxa" w:w="3324"/>
          </w:tcPr>
          <w:p>
            <w:r/>
            <w:r>
              <w:t xml:space="preserve">Учётная запись без входа дольше 90 дней отключается автоматически при плановом обслуживании БД (раз в час); срок и включение меняются в настройках («Неактивные учётные записи»). Для никогда не входивших отсчёт идёт от даты создания. Пользователи с ролью </w:t>
            </w:r>
            <w:r>
              <w:rPr>
                <w:rFonts w:ascii="Consolas" w:hAnsi="Consolas"/>
                <w:sz w:val="18"/>
              </w:rPr>
              <w:t>administrator</w:t>
            </w:r>
            <w:r>
              <w:t xml:space="preserve"> сервиса автоматически не отключаются — только вручную. Отключение отзывает сессии, пишется в журнал (</w:t>
            </w:r>
            <w:r>
              <w:rPr>
                <w:rFonts w:ascii="Consolas" w:hAnsi="Consolas"/>
                <w:sz w:val="18"/>
              </w:rPr>
              <w:t>user.disabled_inactive</w:t>
            </w:r>
            <w:r>
              <w:t xml:space="preserve">) и уходит в ленту </w:t>
            </w:r>
            <w:r>
              <w:rPr>
                <w:rFonts w:ascii="Consolas" w:hAnsi="Consolas"/>
                <w:sz w:val="18"/>
              </w:rPr>
              <w:t>security.alert</w:t>
            </w:r>
            <w:r>
              <w:t>. Отчёт для пересмотра прав с выгрузкой в CSV — 1-я очередь</w:t>
            </w:r>
          </w:p>
        </w:tc>
        <w:tc>
          <w:tcPr>
            <w:tcW w:type="dxa" w:w="3324"/>
          </w:tcPr>
          <w:p>
            <w:r/>
            <w:r>
              <w:t>есть (отключение); 1-я очередь (отчёт)</w:t>
            </w:r>
          </w:p>
        </w:tc>
      </w:tr>
      <w:tr>
        <w:tc>
          <w:tcPr>
            <w:tcW w:type="dxa" w:w="3324"/>
          </w:tcPr>
          <w:p>
            <w:r/>
            <w:r>
              <w:t>Ф-13</w:t>
            </w:r>
          </w:p>
        </w:tc>
        <w:tc>
          <w:tcPr>
            <w:tcW w:type="dxa" w:w="3324"/>
          </w:tcPr>
          <w:p>
            <w:r/>
            <w:r>
              <w:t xml:space="preserve">Роли </w:t>
            </w:r>
            <w:r>
              <w:rPr>
                <w:rFonts w:ascii="Consolas" w:hAnsi="Consolas"/>
                <w:sz w:val="18"/>
              </w:rPr>
              <w:t>tsl-auth-admin</w:t>
            </w:r>
            <w:r>
              <w:t xml:space="preserve"> отделены от ролей приложений ERP. Технический администратор сервиса не получает доступа к бизнес-данным ERP через tsl-auth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6.3. Учётные записи и аутентификация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Ф-14</w:t>
            </w:r>
          </w:p>
        </w:tc>
        <w:tc>
          <w:tcPr>
            <w:tcW w:type="dxa" w:w="3324"/>
          </w:tcPr>
          <w:p>
            <w:r/>
            <w:r>
              <w:t>Администратор создаёт пользователя с паролем, временным паролем (смена при первом входе) или ссылкой-приглашением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Ф-15</w:t>
            </w:r>
          </w:p>
        </w:tc>
        <w:tc>
          <w:tcPr>
            <w:tcW w:type="dxa" w:w="3324"/>
          </w:tcPr>
          <w:p>
            <w:r/>
            <w:r>
              <w:t>Пользователь сбрасывает пароль по email или через бота мессенджера и меняет пароль в личном кабинете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Ф-16</w:t>
            </w:r>
          </w:p>
        </w:tc>
        <w:tc>
          <w:tcPr>
            <w:tcW w:type="dxa" w:w="3324"/>
          </w:tcPr>
          <w:p>
            <w:r/>
            <w:r>
              <w:t>Политика паролей: длина, классы символов, запрет логина в пароле, история, срок действия. После N неудачных попыток учётная запись временно блокируется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Ф-17</w:t>
            </w:r>
          </w:p>
        </w:tc>
        <w:tc>
          <w:tcPr>
            <w:tcW w:type="dxa" w:w="3324"/>
          </w:tcPr>
          <w:p>
            <w:r/>
            <w:r>
              <w:t>Саморегистрация в приложении с заявкой на роли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Ф-18</w:t>
            </w:r>
          </w:p>
        </w:tc>
        <w:tc>
          <w:tcPr>
            <w:tcW w:type="dxa" w:w="3324"/>
          </w:tcPr>
          <w:p>
            <w:r/>
            <w:r>
              <w:t>Двухфакторный вход назначается ролям: администратор ставит у роли флаг «требовать 2FA» в матрице приложения или через Admin API (</w:t>
            </w:r>
            <w:r>
              <w:rPr>
                <w:rFonts w:ascii="Consolas" w:hAnsi="Consolas"/>
                <w:sz w:val="18"/>
              </w:rPr>
              <w:t>PUT /api/admin/applications/{client}/roles/{role}/two-factor</w:t>
            </w:r>
            <w:r>
              <w:t xml:space="preserve">); приложение через App API флаг не меняет. Если у пользователя есть хотя бы одна такая роль, после пароля открывается страница кода. Каналы: код на email (кнопка «Отправить код») и код в мессенджере (пользователь пишет боту </w:t>
            </w:r>
            <w:r>
              <w:rPr>
                <w:rFonts w:ascii="Consolas" w:hAnsi="Consolas"/>
                <w:sz w:val="18"/>
              </w:rPr>
              <w:t>/code</w:t>
            </w:r>
            <w:r>
              <w:t xml:space="preserve">, бот получает код по Bot API </w:t>
            </w:r>
            <w:r>
              <w:rPr>
                <w:rFonts w:ascii="Consolas" w:hAnsi="Consolas"/>
                <w:sz w:val="18"/>
              </w:rPr>
              <w:t>POST /api/bot/2fa-code</w:t>
            </w:r>
            <w:r>
              <w:t xml:space="preserve">). Коды одноразовые, по времени (TOTP по security stamp), не хранятся и действуют несколько минут; неверные коды считаются в блокировку. Нет ни email, ни мессенджера — вход не выполняется, пользователь видит причину. Password grant для таких пользователей закрыт. Сессия, полученная без кода, после назначения роли не продлевается. В токенах передаётся claim </w:t>
            </w:r>
            <w:r>
              <w:rPr>
                <w:rFonts w:ascii="Consolas" w:hAnsi="Consolas"/>
                <w:sz w:val="18"/>
              </w:rPr>
              <w:t>amr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pwd</w:t>
            </w:r>
            <w:r>
              <w:t xml:space="preserve"> или </w:t>
            </w:r>
            <w:r>
              <w:rPr>
                <w:rFonts w:ascii="Consolas" w:hAnsi="Consolas"/>
                <w:sz w:val="18"/>
              </w:rPr>
              <w:t>pwd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otp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mfa</w:t>
            </w:r>
            <w:r>
              <w:t>). TOTP-приложения и аппаратные ключи — задел на будущее; повторное подтверждение критических операций — на стороне прикладной системы (решения В-7, В-9)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Ф-19</w:t>
            </w:r>
          </w:p>
        </w:tc>
        <w:tc>
          <w:tcPr>
            <w:tcW w:type="dxa" w:w="3324"/>
          </w:tcPr>
          <w:p>
            <w:r/>
            <w:r>
              <w:t>Прекращение доступа работает как отзыв refresh-токена: отключение учётной записи или снятие роли применяется при следующем refresh, не позднее срока жизни access-токена (15 мин). Отключение вызывает администратор или ERP через Admin API (решение В-3)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6.4. Приложения и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Ф-20</w:t>
            </w:r>
          </w:p>
        </w:tc>
        <w:tc>
          <w:tcPr>
            <w:tcW w:type="dxa" w:w="3324"/>
          </w:tcPr>
          <w:p>
            <w:r/>
            <w:r>
              <w:t>Регистрация клиентов: тип (public / confidential), grant types, scopes, redirect URI, CORS для SPA по redirect URI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Ф-21</w:t>
            </w:r>
          </w:p>
        </w:tc>
        <w:tc>
          <w:tcPr>
            <w:tcW w:type="dxa" w:w="3324"/>
          </w:tcPr>
          <w:p>
            <w:r/>
            <w:r>
              <w:t>Технические клиенты Flowable, обработчиков обмена, DWH и импорта из 1С регистрируются отдельно, каждый — со своим секретом и минимальным набором разрешений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Ф-22</w:t>
            </w:r>
          </w:p>
        </w:tc>
        <w:tc>
          <w:tcPr>
            <w:tcW w:type="dxa" w:w="3324"/>
          </w:tcPr>
          <w:p>
            <w:r/>
            <w:r>
              <w:t>Страница входа оформляется под приложение: логотип, цвета, тексты, язык по умолчанию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Ф-23</w:t>
            </w:r>
          </w:p>
        </w:tc>
        <w:tc>
          <w:tcPr>
            <w:tcW w:type="dxa" w:w="3324"/>
          </w:tcPr>
          <w:p>
            <w:r/>
            <w:r>
              <w:t>Admin API выполняет всё, что доступно в админке. App API даёт приложению его срез пользователей, ролей, заявок и журнала; чужие данные ему не видны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Ф-24</w:t>
            </w:r>
          </w:p>
        </w:tc>
        <w:tc>
          <w:tcPr>
            <w:tcW w:type="dxa" w:w="3324"/>
          </w:tcPr>
          <w:p>
            <w:r/>
            <w:r>
              <w:t xml:space="preserve">Bot API: привязка мессенджера по одноразовому коду, сброс пароля, блокировка и разблокировка, принудительная смена пароля. Действия над чужими учётными записями — только по роли </w:t>
            </w:r>
            <w:r>
              <w:rPr>
                <w:rFonts w:ascii="Consolas" w:hAnsi="Consolas"/>
                <w:sz w:val="18"/>
              </w:rPr>
              <w:t>security-officer</w:t>
            </w:r>
            <w:r>
              <w:t xml:space="preserve"> отправителя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Ф-25</w:t>
            </w:r>
          </w:p>
        </w:tc>
        <w:tc>
          <w:tcPr>
            <w:tcW w:type="dxa" w:w="3324"/>
          </w:tcPr>
          <w:p>
            <w:r/>
            <w:r>
              <w:t>Лента событий: long-polling, SSE, вебхуки с HMAC-подписью, повторами и outbox. Вебхуки не отправляются на loopback и link-local адреса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Ф-26</w:t>
            </w:r>
          </w:p>
        </w:tc>
        <w:tc>
          <w:tcPr>
            <w:tcW w:type="dxa" w:w="3324"/>
          </w:tcPr>
          <w:p>
            <w:r/>
            <w:r>
              <w:t xml:space="preserve">Интерфейсы описаны в OpenAPI; справочник </w:t>
            </w:r>
            <w:r>
              <w:rPr>
                <w:rFonts w:ascii="Consolas" w:hAnsi="Consolas"/>
                <w:sz w:val="18"/>
              </w:rPr>
              <w:t>/docs/api</w:t>
            </w:r>
            <w:r>
              <w:t xml:space="preserve"> и руководство </w:t>
            </w:r>
            <w:r>
              <w:rPr>
                <w:rFonts w:ascii="Consolas" w:hAnsi="Consolas"/>
                <w:sz w:val="18"/>
              </w:rPr>
              <w:t>/docs</w:t>
            </w:r>
            <w:r>
              <w:t xml:space="preserve"> работают без интернета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Ф-27</w:t>
            </w:r>
          </w:p>
        </w:tc>
        <w:tc>
          <w:tcPr>
            <w:tcW w:type="dxa" w:w="3324"/>
          </w:tcPr>
          <w:p>
            <w:r/>
            <w:r>
              <w:t>Клиентские библиотеки для .NET, Node.js/браузера, Go, Python и Java по единому контракту (</w:t>
            </w:r>
            <w:r>
              <w:rPr>
                <w:rFonts w:ascii="Consolas" w:hAnsi="Consolas"/>
                <w:sz w:val="18"/>
              </w:rPr>
              <w:t>docs/client-contract.md</w:t>
            </w:r>
            <w:r>
              <w:t xml:space="preserve">): проверка токена, защита маршрутов по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t>, клиент токенов (client credentials, exchange, refresh), браузерный PKCE. Контрактные тесты против живого сервиса в CI; пакеты выпускаются вместе с сервисом и переносятся в закрытый контур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Ф-28</w:t>
            </w:r>
          </w:p>
        </w:tc>
        <w:tc>
          <w:tcPr>
            <w:tcW w:type="dxa" w:w="3324"/>
          </w:tcPr>
          <w:p>
            <w:r/>
            <w:r>
              <w:t xml:space="preserve">Подчинённые клиенты (РС-16 проекта 1c-import): приложение-владелец через App API </w:t>
            </w:r>
            <w:r>
              <w:rPr>
                <w:rFonts w:ascii="Consolas" w:hAnsi="Consolas"/>
                <w:sz w:val="18"/>
              </w:rPr>
              <w:t>/api/app/clients</w:t>
            </w:r>
            <w:r>
              <w:t xml:space="preserve"> заводит, меняет ключи, отключает и удаляет своих технических клиентов в рамках политики администратора (префикс </w:t>
            </w:r>
            <w:r>
              <w:rPr>
                <w:rFonts w:ascii="Consolas" w:hAnsi="Consolas"/>
                <w:sz w:val="18"/>
              </w:rPr>
              <w:t>client_id</w:t>
            </w:r>
            <w:r>
              <w:t xml:space="preserve">, белый список своих ролей, только </w:t>
            </w:r>
            <w:r>
              <w:rPr>
                <w:rFonts w:ascii="Consolas" w:hAnsi="Consolas"/>
                <w:sz w:val="18"/>
              </w:rPr>
              <w:t>client_credentials</w:t>
            </w:r>
            <w:r>
              <w:t xml:space="preserve">, способы входа, предел числа, срок токена, предел неактивности). Изменения — только делегированным токеном оператора (token exchange, </w:t>
            </w:r>
            <w:r>
              <w:rPr>
                <w:rFonts w:ascii="Consolas" w:hAnsi="Consolas"/>
                <w:sz w:val="18"/>
              </w:rPr>
              <w:t>act.sub</w:t>
            </w:r>
            <w:r>
              <w:t xml:space="preserve"> = владелец) с разрешением политики в матрице владельца; сервисный токен — только чтение (в тестовых стендах — и изменения); клиентский токен, полученный обменом другим приложением, владельцем не считается; без самоуправления владельца доступа нет. Предел неактивности считается по отметке последнего выданного токена. Чужой клиент — 404; </w:t>
            </w:r>
            <w:r>
              <w:rPr>
                <w:rFonts w:ascii="Consolas" w:hAnsi="Consolas"/>
                <w:sz w:val="18"/>
              </w:rPr>
              <w:t>tsl-auth-admin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tsl-auth-app</w:t>
            </w:r>
            <w:r>
              <w:t>, чужие роли и потоки недоступны ни одним API. Каждое действие — в журнале безопасности с оператором и владельцем; метрика числа подчинённых по владельцам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Ф-29</w:t>
            </w:r>
          </w:p>
        </w:tc>
        <w:tc>
          <w:tcPr>
            <w:tcW w:type="dxa" w:w="3324"/>
          </w:tcPr>
          <w:p>
            <w:r/>
            <w:r>
              <w:t xml:space="preserve">Вход клиента по ключу </w:t>
            </w:r>
            <w:r>
              <w:rPr>
                <w:rFonts w:ascii="Consolas" w:hAnsi="Consolas"/>
                <w:sz w:val="18"/>
              </w:rPr>
              <w:t>private_key_jwt</w:t>
            </w:r>
            <w:r>
              <w:t xml:space="preserve"> (RFC 7523): ключ хранится как открытый JWK EC P-256 (</w:t>
            </w:r>
            <w:r>
              <w:rPr>
                <w:rFonts w:ascii="Consolas" w:hAnsi="Consolas"/>
                <w:sz w:val="18"/>
              </w:rPr>
              <w:t>kid</w:t>
            </w:r>
            <w:r>
              <w:t xml:space="preserve"> — отпечаток RFC 7638, до двух ключей для плавной смены), assertion только ES256, </w:t>
            </w:r>
            <w:r>
              <w:rPr>
                <w:rFonts w:ascii="Consolas" w:hAnsi="Consolas"/>
                <w:sz w:val="18"/>
              </w:rPr>
              <w:t>iss = sub = client_id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aud</w:t>
            </w:r>
            <w:r>
              <w:t xml:space="preserve"> — issuer сервиса (как в discovery), </w:t>
            </w:r>
            <w:r>
              <w:rPr>
                <w:rFonts w:ascii="Consolas" w:hAnsi="Consolas"/>
                <w:sz w:val="18"/>
              </w:rPr>
              <w:t>exp − iat</w:t>
            </w:r>
            <w:r>
              <w:t xml:space="preserve"> ≤ 5 мин, </w:t>
            </w:r>
            <w:r>
              <w:rPr>
                <w:rFonts w:ascii="Consolas" w:hAnsi="Consolas"/>
                <w:sz w:val="18"/>
              </w:rPr>
              <w:t>iat</w:t>
            </w:r>
            <w:r>
              <w:t>/</w:t>
            </w:r>
            <w:r>
              <w:rPr>
                <w:rFonts w:ascii="Consolas" w:hAnsi="Consolas"/>
                <w:sz w:val="18"/>
              </w:rPr>
              <w:t>nbf</w:t>
            </w:r>
            <w:r>
              <w:t>/</w:t>
            </w:r>
            <w:r>
              <w:rPr>
                <w:rFonts w:ascii="Consolas" w:hAnsi="Consolas"/>
                <w:sz w:val="18"/>
              </w:rPr>
              <w:t>exp</w:t>
            </w:r>
            <w:r>
              <w:t xml:space="preserve"> — секунды, </w:t>
            </w:r>
            <w:r>
              <w:rPr>
                <w:rFonts w:ascii="Consolas" w:hAnsi="Consolas"/>
                <w:sz w:val="18"/>
              </w:rPr>
              <w:t>jti</w:t>
            </w:r>
            <w:r>
              <w:t xml:space="preserve"> одноразовый для всего кластера; </w:t>
            </w:r>
            <w:r>
              <w:rPr>
                <w:rFonts w:ascii="Consolas" w:hAnsi="Consolas"/>
                <w:sz w:val="18"/>
              </w:rPr>
              <w:t>alg=none</w:t>
            </w:r>
            <w:r>
              <w:t>/</w:t>
            </w:r>
            <w:r>
              <w:rPr>
                <w:rFonts w:ascii="Consolas" w:hAnsi="Consolas"/>
                <w:sz w:val="18"/>
              </w:rPr>
              <w:t>HS*</w:t>
            </w:r>
            <w:r>
              <w:t xml:space="preserve"> отклоняются; клиенту — только </w:t>
            </w:r>
            <w:r>
              <w:rPr>
                <w:rFonts w:ascii="Consolas" w:hAnsi="Consolas"/>
                <w:sz w:val="18"/>
              </w:rPr>
              <w:t>invalid_client</w:t>
            </w:r>
            <w:r>
              <w:t xml:space="preserve"> на token, introspection и revocation, причина — в журнал (warning) и метрику; discovery публикует </w:t>
            </w:r>
            <w:r>
              <w:rPr>
                <w:rFonts w:ascii="Consolas" w:hAnsi="Consolas"/>
                <w:sz w:val="18"/>
              </w:rPr>
              <w:t>private_key_jwt</w:t>
            </w:r>
            <w:r>
              <w:t xml:space="preserve"> и </w:t>
            </w:r>
            <w:r>
              <w:rPr>
                <w:rFonts w:ascii="Consolas" w:hAnsi="Consolas"/>
                <w:sz w:val="18"/>
              </w:rPr>
              <w:t>ES256</w:t>
            </w:r>
            <w:r>
              <w:t>. SDK .NET и Go входят по ключу; предел отказов по паре «</w:t>
            </w:r>
            <w:r>
              <w:rPr>
                <w:rFonts w:ascii="Consolas" w:hAnsi="Consolas"/>
                <w:sz w:val="18"/>
              </w:rPr>
              <w:t>client_id</w:t>
            </w:r>
            <w:r>
              <w:t xml:space="preserve"> + IP»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Ф-30</w:t>
            </w:r>
          </w:p>
        </w:tc>
        <w:tc>
          <w:tcPr>
            <w:tcW w:type="dxa" w:w="3324"/>
          </w:tcPr>
          <w:p>
            <w:r/>
            <w:r>
              <w:t>Отключение клиента (</w:t>
            </w:r>
            <w:r>
              <w:rPr>
                <w:rFonts w:ascii="Consolas" w:hAnsi="Consolas"/>
                <w:sz w:val="18"/>
              </w:rPr>
              <w:t>tsl_disabled</w:t>
            </w:r>
            <w:r>
              <w:t xml:space="preserve">): администратор — любого, владелец — подчинённого; </w:t>
            </w:r>
            <w:r>
              <w:rPr>
                <w:rFonts w:ascii="Consolas" w:hAnsi="Consolas"/>
                <w:sz w:val="18"/>
              </w:rPr>
              <w:t>invalid_client</w:t>
            </w:r>
            <w:r>
              <w:t xml:space="preserve"> на token и authorize, отзыв сессий и токенов (introspection </w:t>
            </w:r>
            <w:r>
              <w:rPr>
                <w:rFonts w:ascii="Consolas" w:hAnsi="Consolas"/>
                <w:sz w:val="18"/>
              </w:rPr>
              <w:t>active=false</w:t>
            </w:r>
            <w:r>
              <w:t xml:space="preserve">), события </w:t>
            </w:r>
            <w:r>
              <w:rPr>
                <w:rFonts w:ascii="Consolas" w:hAnsi="Consolas"/>
                <w:sz w:val="18"/>
              </w:rPr>
              <w:t>application.disabled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application.enabled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application.deleted</w:t>
            </w:r>
            <w:r>
              <w:t xml:space="preserve"> с </w:t>
            </w:r>
            <w:r>
              <w:rPr>
                <w:rFonts w:ascii="Consolas" w:hAnsi="Consolas"/>
                <w:sz w:val="18"/>
              </w:rPr>
              <w:t>client_id</w:t>
            </w:r>
            <w:r>
              <w:t xml:space="preserve"> и владельцем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6.5. Администрирование и локализация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Ф-27</w:t>
            </w:r>
          </w:p>
        </w:tc>
        <w:tc>
          <w:tcPr>
            <w:tcW w:type="dxa" w:w="3324"/>
          </w:tcPr>
          <w:p>
            <w:r/>
            <w:r>
              <w:t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Ф-28</w:t>
            </w:r>
          </w:p>
        </w:tc>
        <w:tc>
          <w:tcPr>
            <w:tcW w:type="dxa" w:w="3324"/>
          </w:tcPr>
          <w:p>
            <w:r/>
            <w:r>
              <w:t>Интерфейс на русском и английском; языковые пакеты загружаются через админку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Ф-29</w:t>
            </w:r>
          </w:p>
        </w:tc>
        <w:tc>
          <w:tcPr>
            <w:tcW w:type="dxa" w:w="3324"/>
          </w:tcPr>
          <w:p>
            <w:r/>
            <w:r>
              <w:t>CLI обслуживания: восстановление администратора, перенос SQLite → PostgreSQL, проверка и пересборка схемы БД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1"/>
      </w:pPr>
      <w:r>
        <w:t>7. Проверки и ограничения</w:t>
      </w:r>
    </w:p>
    <w:p>
      <w:pPr>
        <w:pStyle w:val="ListBullet"/>
      </w:pPr>
      <w:r>
        <w:t>Сервис отклоняет запрос без PKCE S256 для public-клиента.</w:t>
      </w:r>
    </w:p>
    <w:p>
      <w:pPr>
        <w:pStyle w:val="ListBullet"/>
      </w:pPr>
      <w:r>
        <w:t>Сервис не выдаёт токен отключённой, заблокированной или ожидающей роли учётной записи.</w:t>
      </w:r>
    </w:p>
    <w:p>
      <w:pPr>
        <w:pStyle w:val="ListBullet"/>
      </w:pPr>
      <w:r>
        <w:t>Клиент не получает scope и разрешения сверх назначенных ему ролей; token exchange не расширяет права пользователя.</w:t>
      </w:r>
    </w:p>
    <w:p>
      <w:pPr>
        <w:pStyle w:val="ListBullet"/>
      </w:pPr>
      <w:r>
        <w:t>Приложение через App API не видит и не меняет данные другого приложения.</w:t>
      </w:r>
    </w:p>
    <w:p>
      <w:pPr>
        <w:pStyle w:val="ListBullet"/>
      </w:pPr>
      <w:r>
        <w:t xml:space="preserve">Бот не выполняет действие над чужой учётной записью без роли </w:t>
      </w:r>
      <w:r>
        <w:rPr>
          <w:rFonts w:ascii="Consolas" w:hAnsi="Consolas"/>
          <w:sz w:val="18"/>
        </w:rPr>
        <w:t>security-officer</w:t>
      </w:r>
      <w:r>
        <w:t xml:space="preserve"> у привязанного отправителя.</w:t>
      </w:r>
    </w:p>
    <w:p>
      <w:pPr>
        <w:pStyle w:val="ListBullet"/>
      </w:pPr>
      <w:r>
        <w:t xml:space="preserve">Rate limiting ограничивает вход, </w:t>
      </w:r>
      <w:r>
        <w:rPr>
          <w:rFonts w:ascii="Consolas" w:hAnsi="Consolas"/>
          <w:sz w:val="18"/>
        </w:rPr>
        <w:t>/connect/token</w:t>
      </w:r>
      <w:r>
        <w:t>, introspect и revoke.</w:t>
      </w:r>
    </w:p>
    <w:p>
      <w:pPr>
        <w:pStyle w:val="Heading1"/>
      </w:pPr>
      <w:r>
        <w:t>8. Интеграции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Потребитель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Способ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Идентификация</w:t>
            </w:r>
          </w:p>
        </w:tc>
      </w:tr>
      <w:tr>
        <w:tc>
          <w:tcPr>
            <w:tcW w:type="dxa" w:w="3324"/>
          </w:tcPr>
          <w:p>
            <w:r/>
            <w:r>
              <w:t>UI ERP (React)</w:t>
            </w:r>
          </w:p>
        </w:tc>
        <w:tc>
          <w:tcPr>
            <w:tcW w:type="dxa" w:w="3324"/>
          </w:tcPr>
          <w:p>
            <w:r/>
            <w:r>
              <w:t>authorization code + PKCE, refresh с ротацией</w:t>
            </w:r>
          </w:p>
        </w:tc>
        <w:tc>
          <w:tcPr>
            <w:tcW w:type="dxa" w:w="3324"/>
          </w:tcPr>
          <w:p>
            <w:r/>
            <w:r>
              <w:t>public-клиент</w:t>
            </w:r>
          </w:p>
        </w:tc>
      </w:tr>
      <w:tr>
        <w:tc>
          <w:tcPr>
            <w:tcW w:type="dxa" w:w="3324"/>
          </w:tcPr>
          <w:p>
            <w:r/>
            <w:r>
              <w:t>Операционное ядро ERP (FastAPI)</w:t>
            </w:r>
          </w:p>
        </w:tc>
        <w:tc>
          <w:tcPr>
            <w:tcW w:type="dxa" w:w="3324"/>
          </w:tcPr>
          <w:p>
            <w:r/>
            <w:r>
              <w:t xml:space="preserve">Проверка JWT по JWKS: подпись RS256, </w:t>
            </w:r>
            <w:r>
              <w:rPr>
                <w:rFonts w:ascii="Consolas" w:hAnsi="Consolas"/>
                <w:sz w:val="18"/>
              </w:rPr>
              <w:t>iss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aud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exp</w:t>
            </w:r>
            <w:r>
              <w:t xml:space="preserve">, права по claim </w:t>
            </w:r>
            <w:r>
              <w:rPr>
                <w:rFonts w:ascii="Consolas" w:hAnsi="Consolas"/>
                <w:sz w:val="18"/>
              </w:rPr>
              <w:t>permissions</w:t>
            </w:r>
          </w:p>
        </w:tc>
        <w:tc>
          <w:tcPr>
            <w:tcW w:type="dxa" w:w="3324"/>
          </w:tcPr>
          <w:p>
            <w:r/>
            <w:r>
              <w:t>resource server</w:t>
            </w:r>
          </w:p>
        </w:tc>
      </w:tr>
      <w:tr>
        <w:tc>
          <w:tcPr>
            <w:tcW w:type="dxa" w:w="3324"/>
          </w:tcPr>
          <w:p>
            <w:r/>
            <w:r>
              <w:t>Flowable, обработчики RabbitMQ, Airflow/DWH, импорт из 1С</w:t>
            </w:r>
          </w:p>
        </w:tc>
        <w:tc>
          <w:tcPr>
            <w:tcW w:type="dxa" w:w="3324"/>
          </w:tcPr>
          <w:p>
            <w:r/>
            <w:r>
              <w:t>client credentials; вызов от имени пользователя — token exchange</w:t>
            </w:r>
          </w:p>
        </w:tc>
        <w:tc>
          <w:tcPr>
            <w:tcW w:type="dxa" w:w="3324"/>
          </w:tcPr>
          <w:p>
            <w:r/>
            <w:r>
              <w:t>confidential-клиенты</w:t>
            </w:r>
          </w:p>
        </w:tc>
      </w:tr>
      <w:tr>
        <w:tc>
          <w:tcPr>
            <w:tcW w:type="dxa" w:w="3324"/>
          </w:tcPr>
          <w:p>
            <w:r/>
            <w:r>
              <w:t>Ядро ERP (кадровые события, отчёт пересмотра прав)</w:t>
            </w:r>
          </w:p>
        </w:tc>
        <w:tc>
          <w:tcPr>
            <w:tcW w:type="dxa" w:w="3324"/>
          </w:tcPr>
          <w:p>
            <w:r/>
            <w:r>
              <w:t>Admin API, лента событий</w:t>
            </w:r>
          </w:p>
        </w:tc>
        <w:tc>
          <w:tcPr>
            <w:tcW w:type="dxa" w:w="3324"/>
          </w:tcPr>
          <w:p>
            <w:r/>
            <w:r>
              <w:t xml:space="preserve">confidential-клиент </w:t>
            </w:r>
            <w:r>
              <w:rPr>
                <w:rFonts w:ascii="Consolas" w:hAnsi="Consolas"/>
                <w:sz w:val="18"/>
              </w:rPr>
              <w:t>admin-cli</w:t>
            </w:r>
          </w:p>
        </w:tc>
      </w:tr>
      <w:tr>
        <w:tc>
          <w:tcPr>
            <w:tcW w:type="dxa" w:w="3324"/>
          </w:tcPr>
          <w:p>
            <w:r/>
            <w:r>
              <w:t>Боты мессенджеров</w:t>
            </w:r>
          </w:p>
        </w:tc>
        <w:tc>
          <w:tcPr>
            <w:tcW w:type="dxa" w:w="3324"/>
          </w:tcPr>
          <w:p>
            <w:r/>
            <w:r>
              <w:t>Bot API</w:t>
            </w:r>
          </w:p>
        </w:tc>
        <w:tc>
          <w:tcPr>
            <w:tcW w:type="dxa" w:w="3324"/>
          </w:tcPr>
          <w:p>
            <w:r/>
            <w:r>
              <w:t xml:space="preserve">confidential-клиент с ролью </w:t>
            </w:r>
            <w:r>
              <w:rPr>
                <w:rFonts w:ascii="Consolas" w:hAnsi="Consolas"/>
                <w:sz w:val="18"/>
              </w:rPr>
              <w:t>security-bot</w:t>
            </w:r>
          </w:p>
        </w:tc>
      </w:tr>
    </w:tbl>
    <w:p/>
    <w:p>
      <w:r>
        <w:t>Контракт токена версионируется: состав claims меняется с обратной совместимостью либо с переходным периодом, как требует 04.12. В репозитории есть примеры интеграции на .NET, Node.js, Go, Python и Java и демо «Документооборот»: PWA, App API и бот. Пример для Python/FastAPI входит в первую очередь.</w:t>
      </w:r>
    </w:p>
    <w:p>
      <w:r>
        <w:t>Подключение потребителей выполняется клиентскими библиотеками (</w:t>
      </w:r>
      <w:r>
        <w:rPr>
          <w:rFonts w:ascii="Consolas" w:hAnsi="Consolas"/>
          <w:sz w:val="18"/>
        </w:rPr>
        <w:t>sdk/</w:t>
      </w:r>
      <w:r>
        <w:t xml:space="preserve">): NuGet </w:t>
      </w:r>
      <w:r>
        <w:rPr>
          <w:rFonts w:ascii="Consolas" w:hAnsi="Consolas"/>
          <w:sz w:val="18"/>
        </w:rPr>
        <w:t>TslAuth.Client</w:t>
      </w:r>
      <w:r>
        <w:t xml:space="preserve">, npm </w:t>
      </w:r>
      <w:r>
        <w:rPr>
          <w:rFonts w:ascii="Consolas" w:hAnsi="Consolas"/>
          <w:sz w:val="18"/>
        </w:rPr>
        <w:t>@tsl/auth-client</w:t>
      </w:r>
      <w:r>
        <w:t xml:space="preserve"> (сервер и браузер), модуль Go, PyPI </w:t>
      </w:r>
      <w:r>
        <w:rPr>
          <w:rFonts w:ascii="Consolas" w:hAnsi="Consolas"/>
          <w:sz w:val="18"/>
        </w:rPr>
        <w:t>tsl-auth-client</w:t>
      </w:r>
      <w:r>
        <w:t xml:space="preserve">, Maven </w:t>
      </w:r>
      <w:r>
        <w:rPr>
          <w:rFonts w:ascii="Consolas" w:hAnsi="Consolas"/>
          <w:sz w:val="18"/>
        </w:rPr>
        <w:t>ru.tsl.auth:tsl-auth-client</w:t>
      </w:r>
      <w:r>
        <w:t>. Все пять реализуют один контракт (</w:t>
      </w:r>
      <w:r>
        <w:rPr>
          <w:rFonts w:ascii="Consolas" w:hAnsi="Consolas"/>
          <w:sz w:val="18"/>
        </w:rPr>
        <w:t>docs/client-contract.md</w:t>
      </w:r>
      <w:r>
        <w:t xml:space="preserve">): порядок проверок, коды ошибок, чтение </w:t>
      </w:r>
      <w:r>
        <w:rPr>
          <w:rFonts w:ascii="Consolas" w:hAnsi="Consolas"/>
          <w:sz w:val="18"/>
        </w:rPr>
        <w:t>permissions</w:t>
      </w:r>
      <w:r>
        <w:t>, кэш JWKS, ротация refresh — и проверяются контрактными тестами против живого контейнера. Пакеты версионируются вместе с сервисом и публикуются в реестры пакетов GitHub и GitFlic; в закрытый контур переносятся вместе с образами.</w:t>
      </w:r>
    </w:p>
    <w:p>
      <w:pPr>
        <w:pStyle w:val="Heading1"/>
      </w:pPr>
      <w:r>
        <w:t>9. Права доступа</w:t>
      </w:r>
    </w:p>
    <w:p>
      <w:pPr>
        <w:pStyle w:val="ListBullet"/>
      </w:pPr>
      <w:r>
        <w:t>Минимальные полномочия: технический клиент получает только разрешения, нужные его операциям.</w:t>
      </w:r>
    </w:p>
    <w:p>
      <w:pPr>
        <w:pStyle w:val="ListBullet"/>
      </w:pPr>
      <w:r>
        <w:t xml:space="preserve">Административные интерфейсы tsl-auth (админка, Admin API) доступны только ролям </w:t>
      </w:r>
      <w:r>
        <w:rPr>
          <w:rFonts w:ascii="Consolas" w:hAnsi="Consolas"/>
          <w:sz w:val="18"/>
        </w:rPr>
        <w:t>tsl-auth-admin</w:t>
      </w:r>
      <w:r>
        <w:t>; аудитор имеет права только на просмотр.</w:t>
      </w:r>
    </w:p>
    <w:p>
      <w:pPr>
        <w:pStyle w:val="ListBullet"/>
      </w:pPr>
      <w:r>
        <w:t>Доступ к журналу безопасности выдаётся отдельной ролью и сам журналируется (1-я очередь).</w:t>
      </w:r>
    </w:p>
    <w:p>
      <w:pPr>
        <w:pStyle w:val="ListBullet"/>
      </w:pPr>
      <w:r>
        <w:t>Аварийный доступ: CLI восстановления администратора запускается только из контейнера сервиса; запуск пишется в журнал.</w:t>
      </w:r>
    </w:p>
    <w:p>
      <w:pPr>
        <w:pStyle w:val="Heading1"/>
      </w:pPr>
      <w:r>
        <w:t>10. Аудит и журналирование (04.15)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А-1</w:t>
            </w:r>
          </w:p>
        </w:tc>
        <w:tc>
          <w:tcPr>
            <w:tcW w:type="dxa" w:w="3324"/>
          </w:tcPr>
          <w:p>
            <w:r/>
            <w:r>
              <w:t>Журнал безопасности фиксирует входы, неудачные попытки, изменения состояния учётных записей, назначение и снятие ролей, изменение матриц, приложений и настроек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А-2</w:t>
            </w:r>
          </w:p>
        </w:tc>
        <w:tc>
          <w:tcPr>
            <w:tcW w:type="dxa" w:w="3324"/>
          </w:tcPr>
          <w:p>
            <w:r/>
            <w:r>
              <w:t>Событие содержит пользователя, время, объект, вид действия, приложение, результат, IP и User-Agent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А-2а</w:t>
            </w:r>
          </w:p>
        </w:tc>
        <w:tc>
          <w:tcPr>
            <w:tcW w:type="dxa" w:w="3324"/>
          </w:tcPr>
          <w:p>
            <w:r/>
            <w:r>
              <w:t>Событие содержит идентификатор трассировки, по которому оно связывается с журналом приложения и запросом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А-3</w:t>
            </w:r>
          </w:p>
        </w:tc>
        <w:tc>
          <w:tcPr>
            <w:tcW w:type="dxa" w:w="3324"/>
          </w:tcPr>
          <w:p>
            <w:r/>
            <w:r>
              <w:t>Для изменений событие дополнительно содержит прежнее и новое значение и основание (комментарий администратора)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А-4</w:t>
            </w:r>
          </w:p>
        </w:tc>
        <w:tc>
          <w:tcPr>
            <w:tcW w:type="dxa" w:w="3324"/>
          </w:tcPr>
          <w:p>
            <w:r/>
            <w:r>
              <w:t>Журнал не изменяется и не удаляется через интерфейсы сервиса; удаление выполняется только по сроку хранения, отдельно для каждого типа событий. Сроки по умолчанию: входы, выходы и второй фактор (</w:t>
            </w:r>
            <w:r>
              <w:rPr>
                <w:rFonts w:ascii="Consolas" w:hAnsi="Consolas"/>
                <w:sz w:val="18"/>
              </w:rPr>
              <w:t>auth.*</w:t>
            </w:r>
            <w:r>
              <w:t>) — 1 год; блокировки, изменения учётных записей, паролей, ролей, настроек, действия администраторов и отказы в доступе — 5 лет; технические события токенов (</w:t>
            </w:r>
            <w:r>
              <w:rPr>
                <w:rFonts w:ascii="Consolas" w:hAnsi="Consolas"/>
                <w:sz w:val="18"/>
              </w:rPr>
              <w:t>token.*</w:t>
            </w:r>
            <w:r>
              <w:t>) — 90 дней. Сроки меняются в настройках (решение В-5)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А-5</w:t>
            </w:r>
          </w:p>
        </w:tc>
        <w:tc>
          <w:tcPr>
            <w:tcW w:type="dxa" w:w="3324"/>
          </w:tcPr>
          <w:p>
            <w:r/>
            <w:r>
              <w:t>Журнал не содержит паролей, токенов и секретов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А-6</w:t>
            </w:r>
          </w:p>
        </w:tc>
        <w:tc>
          <w:tcPr>
            <w:tcW w:type="dxa" w:w="3324"/>
          </w:tcPr>
          <w:p>
            <w:r/>
            <w:r>
              <w:t>Выгрузка журнала в CSV с защитой от формульных инъекций; события уровня warning и выше дублируются в ленту событий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А-7</w:t>
            </w:r>
          </w:p>
        </w:tc>
        <w:tc>
          <w:tcPr>
            <w:tcW w:type="dxa" w:w="3324"/>
          </w:tcPr>
          <w:p>
            <w:r/>
            <w:r>
              <w:t>Просмотр и выгрузка журнала сами пишутся в журнал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</w:tbl>
    <w:p/>
    <w:p>
      <w:r>
        <w:t>Сроки хранения по умолчанию заданы решением В-5 и меняются в настройках.</w:t>
      </w:r>
    </w:p>
    <w:p>
      <w:pPr>
        <w:pStyle w:val="Heading1"/>
      </w:pPr>
      <w:r>
        <w:t>11. Нефункциональные требования</w:t>
      </w:r>
    </w:p>
    <w:p>
      <w:pPr>
        <w:pStyle w:val="Heading2"/>
      </w:pPr>
      <w:r>
        <w:t>11.1. Архитектура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684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93eb2ac25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8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9. 11.1. Архитектура</w:t>
      </w:r>
    </w:p>
    <w:p>
      <w:r>
        <w:t>Сервис не хранит состояния в памяти: ключи подписи, сессии, настройки и очереди находятся в БД, поэтому любой узел кластера обслуживает любой запрос. В работе нет обращений в интернет; интерфейс и справочник API работают без CDN. Сервис — отдельный компонент, а не модуль монолита ERP: ERP зависит только от стандартного OIDC-контракта, поэтому замена поставщика не меняет бизнес-логику (04.02, 04.14).</w:t>
      </w:r>
    </w:p>
    <w:p>
      <w:pPr>
        <w:pStyle w:val="Heading2"/>
      </w:pPr>
      <w:r>
        <w:t>11.2. Производительность (04.05)</w:t>
      </w:r>
    </w:p>
    <w:p>
      <w:r>
        <w:t>Для расчёта принимается верхняя граница первой очереди — 220 активных пользователей ERP одновременно.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Одиночный режим (SQLite)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Кластер (3 узла + PostgreSQL)</w:t>
            </w:r>
          </w:p>
        </w:tc>
      </w:tr>
      <w:tr>
        <w:tc>
          <w:tcPr>
            <w:tcW w:type="dxa" w:w="3324"/>
          </w:tcPr>
          <w:p>
            <w:r/>
            <w:r>
              <w:t>Пропускная способность</w:t>
            </w:r>
          </w:p>
        </w:tc>
        <w:tc>
          <w:tcPr>
            <w:tcW w:type="dxa" w:w="3324"/>
          </w:tcPr>
          <w:p>
            <w:r/>
            <w:r>
              <w:t>не менее 400 запросов/с</w:t>
            </w:r>
          </w:p>
        </w:tc>
        <w:tc>
          <w:tcPr>
            <w:tcW w:type="dxa" w:w="3324"/>
          </w:tcPr>
          <w:p>
            <w:r/>
            <w:r>
              <w:t>не менее 600 запросов/с</w:t>
            </w:r>
          </w:p>
        </w:tc>
      </w:tr>
      <w:tr>
        <w:tc>
          <w:tcPr>
            <w:tcW w:type="dxa" w:w="3324"/>
          </w:tcPr>
          <w:p>
            <w:r/>
            <w:r>
              <w:t>client_credentials, p95</w:t>
            </w:r>
          </w:p>
        </w:tc>
        <w:tc>
          <w:tcPr>
            <w:tcW w:type="dxa" w:w="3324"/>
          </w:tcPr>
          <w:p>
            <w:r/>
            <w:r>
              <w:t>до 2,5 с</w:t>
            </w:r>
          </w:p>
        </w:tc>
        <w:tc>
          <w:tcPr>
            <w:tcW w:type="dxa" w:w="3324"/>
          </w:tcPr>
          <w:p>
            <w:r/>
            <w:r>
              <w:t>до 200 мс</w:t>
            </w:r>
          </w:p>
        </w:tc>
      </w:tr>
      <w:tr>
        <w:tc>
          <w:tcPr>
            <w:tcW w:type="dxa" w:w="3324"/>
          </w:tcPr>
          <w:p>
            <w:r/>
            <w:r>
              <w:t>Вход по паролю (PBKDF2 100 000 итераций), p95</w:t>
            </w:r>
          </w:p>
        </w:tc>
        <w:tc>
          <w:tcPr>
            <w:tcW w:type="dxa" w:w="3324"/>
          </w:tcPr>
          <w:p>
            <w:r/>
            <w:r>
              <w:t>до 5 с</w:t>
            </w:r>
          </w:p>
        </w:tc>
        <w:tc>
          <w:tcPr>
            <w:tcW w:type="dxa" w:w="3324"/>
          </w:tcPr>
          <w:p>
            <w:r/>
            <w:r>
              <w:t>до 700 мс</w:t>
            </w:r>
          </w:p>
        </w:tc>
      </w:tr>
      <w:tr>
        <w:tc>
          <w:tcPr>
            <w:tcW w:type="dxa" w:w="3324"/>
          </w:tcPr>
          <w:p>
            <w:r/>
            <w:r>
              <w:t>Ошибки под нагрузкой</w:t>
            </w:r>
          </w:p>
        </w:tc>
        <w:tc>
          <w:tcPr>
            <w:tcW w:type="dxa" w:w="3324"/>
          </w:tcPr>
          <w:p>
            <w:r/>
            <w:r>
              <w:t>0 %</w:t>
            </w:r>
          </w:p>
        </w:tc>
        <w:tc>
          <w:tcPr>
            <w:tcW w:type="dxa" w:w="3324"/>
          </w:tcPr>
          <w:p>
            <w:r/>
            <w:r>
              <w:t>0 %</w:t>
            </w:r>
          </w:p>
        </w:tc>
      </w:tr>
    </w:tbl>
    <w:p/>
    <w:p>
      <w:r>
        <w:t>Промышленный режим ERP — кластер: вход укладывается в 2 с для 95 % запросов, как требует 04.05 для типовой операции. Методика: k6, 45 виртуальных пользователей, 60 с (</w:t>
      </w:r>
      <w:r>
        <w:rPr>
          <w:rFonts w:ascii="Consolas" w:hAnsi="Consolas"/>
          <w:sz w:val="18"/>
        </w:rPr>
        <w:t>tests/load</w:t>
      </w:r>
      <w:r>
        <w:t>). В первой очереди профиль нагрузки дополняется сценарием 220 пользователей.</w:t>
      </w:r>
    </w:p>
    <w:p>
      <w:pPr>
        <w:pStyle w:val="Heading2"/>
      </w:pPr>
      <w:r>
        <w:t>11.3. Доступность, RPO и RTO (04.07)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Н-1</w:t>
            </w:r>
          </w:p>
        </w:tc>
        <w:tc>
          <w:tcPr>
            <w:tcW w:type="dxa" w:w="3324"/>
          </w:tcPr>
          <w:p>
            <w:r/>
            <w:r>
              <w:t>Доступность не ниже 99,5 % в согласованные часы работы, как у операционного ядра ERP: без tsl-auth пользователи не входят в ERP</w:t>
            </w:r>
          </w:p>
        </w:tc>
        <w:tc>
          <w:tcPr>
            <w:tcW w:type="dxa" w:w="3324"/>
          </w:tcPr>
          <w:p>
            <w:r/>
            <w:r>
              <w:t>есть (кластер)</w:t>
            </w:r>
          </w:p>
        </w:tc>
      </w:tr>
      <w:tr>
        <w:tc>
          <w:tcPr>
            <w:tcW w:type="dxa" w:w="3324"/>
          </w:tcPr>
          <w:p>
            <w:r/>
            <w:r>
              <w:t>Н-2</w:t>
            </w:r>
          </w:p>
        </w:tc>
        <w:tc>
          <w:tcPr>
            <w:tcW w:type="dxa" w:w="3324"/>
          </w:tcPr>
          <w:p>
            <w:r/>
            <w:r>
              <w:t xml:space="preserve">Кластер из любого числа узлов за балансировщиком. Потеря узла незаметна клиентам: 0 ошибок при rolling update и </w:t>
            </w:r>
            <w:r>
              <w:rPr>
                <w:rFonts w:ascii="Consolas" w:hAnsi="Consolas"/>
                <w:sz w:val="18"/>
              </w:rPr>
              <w:t>kill -9</w:t>
            </w:r>
            <w:r>
              <w:t xml:space="preserve"> узла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Н-3</w:t>
            </w:r>
          </w:p>
        </w:tc>
        <w:tc>
          <w:tcPr>
            <w:tcW w:type="dxa" w:w="3324"/>
          </w:tcPr>
          <w:p>
            <w:r/>
            <w:r>
              <w:t>Уже выданные токены проверяются приложениями локально по кэшу JWKS, поэтому кратковременный отказ tsl-auth не прерывает работу вошедших пользователей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Н-4</w:t>
            </w:r>
          </w:p>
        </w:tc>
        <w:tc>
          <w:tcPr>
            <w:tcW w:type="dxa" w:w="3324"/>
          </w:tcPr>
          <w:p>
            <w:r/>
            <w:r>
              <w:t>Сессии и ключи подписи переживают перезапуск узлов и сервиса целиком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Н-5</w:t>
            </w:r>
          </w:p>
        </w:tc>
        <w:tc>
          <w:tcPr>
            <w:tcW w:type="dxa" w:w="3324"/>
          </w:tcPr>
          <w:p>
            <w:r/>
            <w:r>
              <w:t>При недоступности PostgreSQL узлы остаются живыми и восстанавливаются без рестарта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Н-6</w:t>
            </w:r>
          </w:p>
        </w:tc>
        <w:tc>
          <w:tcPr>
            <w:tcW w:type="dxa" w:w="3324"/>
          </w:tcPr>
          <w:p>
            <w:r/>
            <w:r>
              <w:t>RPO не более 15 минут, RTO не более 4 часов — за счёт резервного копирования PostgreSQL на площадке заказчика (11.4)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</w:tbl>
    <w:p/>
    <w:p>
      <w:pPr>
        <w:pStyle w:val="Heading2"/>
      </w:pPr>
      <w:r>
        <w:t>11.4. Резервное копирование и восстановление (04.08)</w:t>
      </w:r>
    </w:p>
    <w:p>
      <w:r>
        <w:t>Копируются БД сервиса (учётные записи, роли, клиенты, ключи подписи, журнал) и мастер-ключ; без мастер-ключа зашифрованные поля не восстанавливаются, поэтому мастер-ключ хранится отдельно от копий БД.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К-1</w:t>
            </w:r>
          </w:p>
        </w:tc>
        <w:tc>
          <w:tcPr>
            <w:tcW w:type="dxa" w:w="3324"/>
          </w:tcPr>
          <w:p>
            <w:r/>
            <w:r>
              <w:t>Режим копирования PostgreSQL — по 04.08: полная копия еженедельно, ежедневная инкрементальная, журналы транзакций с интервалом не более 15 минут; суточные копии хранятся 35 дней, недельные — 6 месяцев. Мастер-ключ в промышленной среде хранится в OpenBao отдельно от копий БД (решение В-6)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К-2</w:t>
            </w:r>
          </w:p>
        </w:tc>
        <w:tc>
          <w:tcPr>
            <w:tcW w:type="dxa" w:w="3324"/>
          </w:tcPr>
          <w:p>
            <w:r/>
            <w:r>
              <w:t>Перед пересборкой схемы сервис сам делает резервную копию БД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К-3</w:t>
            </w:r>
          </w:p>
        </w:tc>
        <w:tc>
          <w:tcPr>
            <w:tcW w:type="dxa" w:w="3324"/>
          </w:tcPr>
          <w:p>
            <w:r/>
            <w:r>
              <w:t>Восстановление проверяется раз в квартал в изолированной среде: данные, права, вход пользователей и технических клиентов. Результат оформляется протоколом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</w:tbl>
    <w:p/>
    <w:p>
      <w:pPr>
        <w:pStyle w:val="Heading2"/>
      </w:pPr>
      <w:r>
        <w:t>11.5. Обновление схемы и самовосстановление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Н-7</w:t>
            </w:r>
          </w:p>
        </w:tc>
        <w:tc>
          <w:tcPr>
            <w:tcW w:type="dxa" w:w="3324"/>
          </w:tcPr>
          <w:p>
            <w:r/>
            <w:r>
              <w:t>Схема БД обновляется автоматически при старте под advisory-lock; узлы кластера ждут друг друга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Н-8</w:t>
            </w:r>
          </w:p>
        </w:tc>
        <w:tc>
          <w:tcPr>
            <w:tcW w:type="dxa" w:w="3324"/>
          </w:tcPr>
          <w:p>
            <w:r/>
            <w:r>
              <w:t>Сервис стартует и сохраняет данные, если БД повреждена или её схема в неизвестном состоянии. Пересборка идёт с переносом данных и резервной копией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Н-9</w:t>
            </w:r>
          </w:p>
        </w:tc>
        <w:tc>
          <w:tcPr>
            <w:tcW w:type="dxa" w:w="3324"/>
          </w:tcPr>
          <w:p>
            <w:r/>
            <w:r>
              <w:t>Запуск на схеме новее версии сервиса запрещён, пока это не разрешено явно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9410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f462dd4ac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941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10. 11.5. Обновление схемы и самовосстановление</w:t>
      </w:r>
    </w:p>
    <w:p>
      <w:pPr>
        <w:pStyle w:val="Heading2"/>
      </w:pPr>
      <w:r>
        <w:t>11.6. Информационная безопасность (04.09)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Б-1</w:t>
            </w:r>
          </w:p>
        </w:tc>
        <w:tc>
          <w:tcPr>
            <w:tcW w:type="dxa" w:w="3324"/>
          </w:tcPr>
          <w:p>
            <w:r/>
            <w:r>
              <w:t>Пароли хранятся как PBKDF2-HMAC-SHA512, 100 000 итераций. Персональные данные в БД шифруются AES-256-GCM, ключи выводятся из мастер-ключа через HKDF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Б-2</w:t>
            </w:r>
          </w:p>
        </w:tc>
        <w:tc>
          <w:tcPr>
            <w:tcW w:type="dxa" w:w="3324"/>
          </w:tcPr>
          <w:p>
            <w:r/>
            <w:r>
              <w:t>Поиск по логину и email идёт через HMAC-индекс. Секреты клиентов, PAT и коды привязки хранятся только хешами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Б-3</w:t>
            </w:r>
          </w:p>
        </w:tc>
        <w:tc>
          <w:tcPr>
            <w:tcW w:type="dxa" w:w="3324"/>
          </w:tcPr>
          <w:p>
            <w:r/>
            <w:r>
              <w:t>Мастер-ключ не хранится в БД. В первой очереди он, как и остальные секреты, задаётся переменной окружения контейнера или файлом настроек вне репозитория; в одиночном режиме генерируется в томе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Б-4</w:t>
            </w:r>
          </w:p>
        </w:tc>
        <w:tc>
          <w:tcPr>
            <w:tcW w:type="dxa" w:w="3324"/>
          </w:tcPr>
          <w:p>
            <w:r/>
            <w:r>
              <w:t>Секреты не попадают в исходный код, журналы и формы. CI проверяет всю историю репозитория на секреты (gitleaks)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Б-5</w:t>
            </w:r>
          </w:p>
        </w:tc>
        <w:tc>
          <w:tcPr>
            <w:tcW w:type="dxa" w:w="3324"/>
          </w:tcPr>
          <w:p>
            <w:r/>
            <w:r>
              <w:t xml:space="preserve">Защищённое хранилище секретов: OpenBao KV v2 по AppRole под теми же ключами настроек, без изменения кода. На MVP секреты задаются в </w:t>
            </w:r>
            <w:r>
              <w:rPr>
                <w:rFonts w:ascii="Consolas" w:hAnsi="Consolas"/>
                <w:sz w:val="18"/>
              </w:rPr>
              <w:t>.env</w:t>
            </w:r>
            <w:r>
              <w:t xml:space="preserve"> и файле настроек; в промышленной среде — OpenBao (решения В-4, В-6)</w:t>
            </w:r>
          </w:p>
        </w:tc>
        <w:tc>
          <w:tcPr>
            <w:tcW w:type="dxa" w:w="3324"/>
          </w:tcPr>
          <w:p>
            <w:r/>
            <w:r>
              <w:t>есть (поддержка)</w:t>
            </w:r>
          </w:p>
        </w:tc>
      </w:tr>
      <w:tr>
        <w:tc>
          <w:tcPr>
            <w:tcW w:type="dxa" w:w="3324"/>
          </w:tcPr>
          <w:p>
            <w:r/>
            <w:r>
              <w:t>Б-6</w:t>
            </w:r>
          </w:p>
        </w:tc>
        <w:tc>
          <w:tcPr>
            <w:tcW w:type="dxa" w:w="3324"/>
          </w:tcPr>
          <w:p>
            <w:r/>
            <w:r>
              <w:t>Каналы шифруются: HTTPS в контейнере или на обратном прокси, TLS к PostgreSQL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Б-7</w:t>
            </w:r>
          </w:p>
        </w:tc>
        <w:tc>
          <w:tcPr>
            <w:tcW w:type="dxa" w:w="3324"/>
          </w:tcPr>
          <w:p>
            <w:r/>
            <w:r>
              <w:t xml:space="preserve">Rate limiting на вход, </w:t>
            </w:r>
            <w:r>
              <w:rPr>
                <w:rFonts w:ascii="Consolas" w:hAnsi="Consolas"/>
                <w:sz w:val="18"/>
              </w:rPr>
              <w:t>/connect/token</w:t>
            </w:r>
            <w:r>
              <w:t>, introspect и revoke. Строгий CSP, antiforgery, SameSite cookie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Б-8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iss</w:t>
            </w:r>
            <w:r>
              <w:t xml:space="preserve"> и ссылки строятся только из </w:t>
            </w:r>
            <w:r>
              <w:rPr>
                <w:rFonts w:ascii="Consolas" w:hAnsi="Consolas"/>
                <w:sz w:val="18"/>
              </w:rPr>
              <w:t>Auth__Issuer</w:t>
            </w:r>
            <w:r>
              <w:t>. Заголовки прокси принимаются только из доверенных сетей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Б-9</w:t>
            </w:r>
          </w:p>
        </w:tc>
        <w:tc>
          <w:tcPr>
            <w:tcW w:type="dxa" w:w="3324"/>
          </w:tcPr>
          <w:p>
            <w:r/>
            <w:r>
              <w:t xml:space="preserve">Образ distroless, non-root, read-only ФС, </w:t>
            </w:r>
            <w:r>
              <w:rPr>
                <w:rFonts w:ascii="Consolas" w:hAnsi="Consolas"/>
                <w:sz w:val="18"/>
              </w:rPr>
              <w:t>cap_drop: ALL</w:t>
            </w:r>
            <w:r>
              <w:t>. Trivy — 0 уязвимостей, Dockle — CIS пройден. Подпись cosign, SBOM, SLSA provenance. Релиз с критической уязвимостью не выпускается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Б-10</w:t>
            </w:r>
          </w:p>
        </w:tc>
        <w:tc>
          <w:tcPr>
            <w:tcW w:type="dxa" w:w="3324"/>
          </w:tcPr>
          <w:p>
            <w:r/>
            <w:r>
              <w:t>Анализ угроз сервиса оформлен в security.md и обновляется при существенном изменении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Б-11</w:t>
            </w:r>
          </w:p>
        </w:tc>
        <w:tc>
          <w:tcPr>
            <w:tcW w:type="dxa" w:w="3324"/>
          </w:tcPr>
          <w:p>
            <w:r/>
            <w:r>
              <w:t>Технические клиенты прикладных сервисов заводятся без ключа Admin API (подчинённые клиенты, Ф-28) и входят без общего секрета (ключ ES256, Ф-29); привязка токена к ключу (DPoP, RFC 9449) — после появления поддержки в OpenIddict (В-11)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11.7. Мониторинг и эксплуатация (04.10)</w:t>
      </w:r>
    </w:p>
    <w:p>
      <w:r>
        <w:t xml:space="preserve">Сервис отдаёт </w:t>
      </w:r>
      <w:r>
        <w:rPr>
          <w:rFonts w:ascii="Consolas" w:hAnsi="Consolas"/>
          <w:sz w:val="18"/>
        </w:rPr>
        <w:t>/health/live</w:t>
      </w:r>
      <w:r>
        <w:t xml:space="preserve"> и </w:t>
      </w:r>
      <w:r>
        <w:rPr>
          <w:rFonts w:ascii="Consolas" w:hAnsi="Consolas"/>
          <w:sz w:val="18"/>
        </w:rPr>
        <w:t>/health/ready</w:t>
      </w:r>
      <w:r>
        <w:t>, метрики в формате Prometheus (</w:t>
      </w:r>
      <w:r>
        <w:rPr>
          <w:rFonts w:ascii="Consolas" w:hAnsi="Consolas"/>
          <w:sz w:val="18"/>
        </w:rPr>
        <w:t>/metrics</w:t>
      </w:r>
      <w:r>
        <w:t>, их опрашивает VictoriaMetrics), трассировки по OTLP (через коллектор в VictoriaTraces), журналы в stdout (их собирает Vector в VictoriaLogs). Метрики: число входов и отказов, выдача токенов по grant type, блокировки, очередь вебхуков, время ответа. Идентификатор трассировки связывает запрос и журнал приложения; с событием журнала безопасности — после А-2а. Пороги уведомлений и ответственные — по решению A17 архитектурного ЧТЗ.</w:t>
      </w:r>
    </w:p>
    <w:p>
      <w:pPr>
        <w:pStyle w:val="Heading2"/>
      </w:pPr>
      <w:r>
        <w:t>11.8. Среды (04.11)</w:t>
      </w:r>
    </w:p>
    <w:p>
      <w:r>
        <w:t xml:space="preserve">Среды разработки, тестирования и промышленной эксплуатации используют отдельные экземпляры tsl-auth с отдельными БД, мастер-ключами, секретами клиентов и </w:t>
      </w:r>
      <w:r>
        <w:rPr>
          <w:rFonts w:ascii="Consolas" w:hAnsi="Consolas"/>
          <w:sz w:val="18"/>
        </w:rPr>
        <w:t>Auth__Issuer</w:t>
      </w:r>
      <w:r>
        <w:t>. Токен одной среды не принимается в другой. Автотесты создают учётные записи и секреты при запуске и не используют продуктивных данных.</w:t>
      </w:r>
    </w:p>
    <w:p>
      <w:pPr>
        <w:pStyle w:val="Heading1"/>
      </w:pPr>
      <w:r>
        <w:t>12. Развёртывание и выпуск (04.12)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564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c42de5f8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56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11. 12. Развёртывание и выпуск (04.12)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Р-1</w:t>
            </w:r>
          </w:p>
        </w:tc>
        <w:tc>
          <w:tcPr>
            <w:tcW w:type="dxa" w:w="3324"/>
          </w:tcPr>
          <w:p>
            <w:r/>
            <w:r>
              <w:t xml:space="preserve">Одиночный режим и кластер запускаются одной командой </w:t>
            </w:r>
            <w:r>
              <w:rPr>
                <w:rFonts w:ascii="Consolas" w:hAnsi="Consolas"/>
                <w:sz w:val="18"/>
              </w:rPr>
              <w:t>docker compose up -d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Р-2</w:t>
            </w:r>
          </w:p>
        </w:tc>
        <w:tc>
          <w:tcPr>
            <w:tcW w:type="dxa" w:w="3324"/>
          </w:tcPr>
          <w:p>
            <w:r/>
            <w:r>
              <w:t xml:space="preserve">Закрытый контур: образы переносятся через </w:t>
            </w:r>
            <w:r>
              <w:rPr>
                <w:rFonts w:ascii="Consolas" w:hAnsi="Consolas"/>
                <w:sz w:val="18"/>
              </w:rPr>
              <w:t>docker save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docker load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scripts/export-images.*</w:t>
            </w:r>
            <w:r>
              <w:t>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Р-3</w:t>
            </w:r>
          </w:p>
        </w:tc>
        <w:tc>
          <w:tcPr>
            <w:tcW w:type="dxa" w:w="3324"/>
          </w:tcPr>
          <w:p>
            <w:r/>
            <w:r>
              <w:t xml:space="preserve">Секреты задаются в </w:t>
            </w:r>
            <w:r>
              <w:rPr>
                <w:rFonts w:ascii="Consolas" w:hAnsi="Consolas"/>
                <w:sz w:val="18"/>
              </w:rPr>
              <w:t>.env</w:t>
            </w:r>
            <w:r>
              <w:t xml:space="preserve"> (переменные контейнеров) или в файле настроек (</w:t>
            </w:r>
            <w:r>
              <w:rPr>
                <w:rFonts w:ascii="Consolas" w:hAnsi="Consolas"/>
                <w:sz w:val="18"/>
              </w:rPr>
              <w:t>deploy/appsettings.mvp.example.json</w:t>
            </w:r>
            <w:r>
              <w:t>); необязательно — файлы docker secrets или OpenBao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Р-4</w:t>
            </w:r>
          </w:p>
        </w:tc>
        <w:tc>
          <w:tcPr>
            <w:tcW w:type="dxa" w:w="3324"/>
          </w:tcPr>
          <w:p>
            <w:r/>
            <w:r>
              <w:t xml:space="preserve">Выпуск — идентифицируемый артефакт: тег </w:t>
            </w:r>
            <w:r>
              <w:rPr>
                <w:rFonts w:ascii="Consolas" w:hAnsi="Consolas"/>
                <w:sz w:val="18"/>
              </w:rPr>
              <w:t>vX.Y.Z</w:t>
            </w:r>
            <w:r>
              <w:t xml:space="preserve"> на коммите с зелёными CI и E2E, подписанный образ, SBOM, заметки о выпуске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Р-5</w:t>
            </w:r>
          </w:p>
        </w:tc>
        <w:tc>
          <w:tcPr>
            <w:tcW w:type="dxa" w:w="3324"/>
          </w:tcPr>
          <w:p>
            <w:r/>
            <w:r>
              <w:t>Возврат к предыдущей версии — смена тега образа и перезапуск, не более 30 минут. Миграция схемы, не совместимая с предыдущей версией, выпускается с отдельным планом отката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000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l-auth-deploy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0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12. TSL Auth: развёртывание (ArchiMate)</w:t>
      </w:r>
    </w:p>
    <w:p>
      <w:pPr>
        <w:pStyle w:val="Heading1"/>
      </w:pPr>
      <w:r>
        <w:t>13. Миграция данных</w:t>
      </w:r>
    </w:p>
    <w:p>
      <w:r>
        <w:t xml:space="preserve">Переход с другого поставщика: формат claims совместим с Keycloak, поэтому проверка прав в приложениях не переписывается. Учётные записи создаются через Admin API; пароли не переносятся — пользователи получают приглашение или временный пароль. Перенос одиночного режима в кластер выполняет CLI </w:t>
      </w:r>
      <w:r>
        <w:rPr>
          <w:rFonts w:ascii="Consolas" w:hAnsi="Consolas"/>
          <w:sz w:val="18"/>
        </w:rPr>
        <w:t>migrate-to-postgres</w:t>
      </w:r>
      <w:r>
        <w:t>.</w:t>
      </w:r>
    </w:p>
    <w:p>
      <w:pPr>
        <w:pStyle w:val="Heading1"/>
      </w:pPr>
      <w:r>
        <w:t>14. Тестовые сценарии и критерии приёмки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Вид испытаний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Средство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3324"/>
          </w:tcPr>
          <w:p>
            <w:r/>
            <w:r>
              <w:t>Модульные</w:t>
            </w:r>
          </w:p>
        </w:tc>
        <w:tc>
          <w:tcPr>
            <w:tcW w:type="dxa" w:w="3324"/>
          </w:tcPr>
          <w:p>
            <w:r/>
            <w:r>
              <w:t>xUnit (</w:t>
            </w:r>
            <w:r>
              <w:rPr>
                <w:rFonts w:ascii="Consolas" w:hAnsi="Consolas"/>
                <w:sz w:val="18"/>
              </w:rPr>
              <w:t>tests/TslAuth.UnitTests</w:t>
            </w:r>
            <w:r>
              <w:t>)</w:t>
            </w:r>
          </w:p>
        </w:tc>
        <w:tc>
          <w:tcPr>
            <w:tcW w:type="dxa" w:w="3324"/>
          </w:tcPr>
          <w:p>
            <w:r/>
            <w:r>
              <w:t>Все проходят</w:t>
            </w:r>
          </w:p>
        </w:tc>
      </w:tr>
      <w:tr>
        <w:tc>
          <w:tcPr>
            <w:tcW w:type="dxa" w:w="3324"/>
          </w:tcPr>
          <w:p>
            <w:r/>
            <w:r>
              <w:t>Интеграционные</w:t>
            </w:r>
          </w:p>
        </w:tc>
        <w:tc>
          <w:tcPr>
            <w:tcW w:type="dxa" w:w="3324"/>
          </w:tcPr>
          <w:p>
            <w:r/>
            <w:r>
              <w:t>xUnit + WebApplicationFactory на SQLite и PostgreSQL в контейнере</w:t>
            </w:r>
          </w:p>
        </w:tc>
        <w:tc>
          <w:tcPr>
            <w:tcW w:type="dxa" w:w="3324"/>
          </w:tcPr>
          <w:p>
            <w:r/>
            <w:r>
              <w:t>Все проходят, включая обновление схемы и самовосстановление</w:t>
            </w:r>
          </w:p>
        </w:tc>
      </w:tr>
      <w:tr>
        <w:tc>
          <w:tcPr>
            <w:tcW w:type="dxa" w:w="3324"/>
          </w:tcPr>
          <w:p>
            <w:r/>
            <w:r>
              <w:t>UI</w:t>
            </w:r>
          </w:p>
        </w:tc>
        <w:tc>
          <w:tcPr>
            <w:tcW w:type="dxa" w:w="3324"/>
          </w:tcPr>
          <w:p>
            <w:r/>
            <w:r>
              <w:t>Playwright</w:t>
            </w:r>
          </w:p>
        </w:tc>
        <w:tc>
          <w:tcPr>
            <w:tcW w:type="dxa" w:w="3324"/>
          </w:tcPr>
          <w:p>
            <w:r/>
            <w:r>
              <w:t>Сценарии входа, регистрации, админки</w:t>
            </w:r>
          </w:p>
        </w:tc>
      </w:tr>
      <w:tr>
        <w:tc>
          <w:tcPr>
            <w:tcW w:type="dxa" w:w="3324"/>
          </w:tcPr>
          <w:p>
            <w:r/>
            <w:r>
              <w:t>Нагрузочные</w:t>
            </w:r>
          </w:p>
        </w:tc>
        <w:tc>
          <w:tcPr>
            <w:tcW w:type="dxa" w:w="3324"/>
          </w:tcPr>
          <w:p>
            <w:r/>
            <w:r>
              <w:t>k6</w:t>
            </w:r>
          </w:p>
        </w:tc>
        <w:tc>
          <w:tcPr>
            <w:tcW w:type="dxa" w:w="3324"/>
          </w:tcPr>
          <w:p>
            <w:r/>
            <w:r>
              <w:t>Показатели 11.2</w:t>
            </w:r>
          </w:p>
        </w:tc>
      </w:tr>
      <w:tr>
        <w:tc>
          <w:tcPr>
            <w:tcW w:type="dxa" w:w="3324"/>
          </w:tcPr>
          <w:p>
            <w:r/>
            <w:r>
              <w:t>Отказоустойчивость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tests/resilience</w:t>
            </w:r>
          </w:p>
        </w:tc>
        <w:tc>
          <w:tcPr>
            <w:tcW w:type="dxa" w:w="3324"/>
          </w:tcPr>
          <w:p>
            <w:r/>
            <w:r>
              <w:t>0 ошибок при rolling update и отказе узла</w:t>
            </w:r>
          </w:p>
        </w:tc>
      </w:tr>
      <w:tr>
        <w:tc>
          <w:tcPr>
            <w:tcW w:type="dxa" w:w="3324"/>
          </w:tcPr>
          <w:p>
            <w:r/>
            <w:r>
              <w:t>Решения заказчика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TwoFactorScenarios</w:t>
            </w:r>
            <w:r>
              <w:t xml:space="preserve"> (SQLite и PostgreSQL), </w:t>
            </w:r>
            <w:r>
              <w:rPr>
                <w:rFonts w:ascii="Consolas" w:hAnsi="Consolas"/>
                <w:sz w:val="18"/>
              </w:rPr>
              <w:t>SettingsTests</w:t>
            </w:r>
          </w:p>
        </w:tc>
        <w:tc>
          <w:tcPr>
            <w:tcW w:type="dxa" w:w="3324"/>
          </w:tcPr>
          <w:p>
            <w:r/>
            <w:r>
              <w:t xml:space="preserve">Двухфакторный вход по роли: страница кода, неверный код отклонён, код с почты и из мессенджера принят, </w:t>
            </w:r>
            <w:r>
              <w:rPr>
                <w:rFonts w:ascii="Consolas" w:hAnsi="Consolas"/>
                <w:sz w:val="18"/>
              </w:rPr>
              <w:t>amr</w:t>
            </w:r>
            <w:r>
              <w:t xml:space="preserve"> в токенах и после refresh; password grant закрыт; без каналов вход не выполняется; неактивные отключены, администратор — нет; сроки журнала по умолчанию</w:t>
            </w:r>
          </w:p>
        </w:tc>
      </w:tr>
      <w:tr>
        <w:tc>
          <w:tcPr>
            <w:tcW w:type="dxa" w:w="3324"/>
          </w:tcPr>
          <w:p>
            <w:r/>
            <w:r>
              <w:t>Секреты в переменных и файле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tests/resilience/run-env-secrets.ps1</w:t>
            </w:r>
          </w:p>
        </w:tc>
        <w:tc>
          <w:tcPr>
            <w:tcW w:type="dxa" w:w="3324"/>
          </w:tcPr>
          <w:p>
            <w:r/>
            <w:r>
              <w:t xml:space="preserve">Сервис стартует с секретами из </w:t>
            </w:r>
            <w:r>
              <w:rPr>
                <w:rFonts w:ascii="Consolas" w:hAnsi="Consolas"/>
                <w:sz w:val="18"/>
              </w:rPr>
              <w:t>.env</w:t>
            </w:r>
            <w:r>
              <w:t xml:space="preserve"> и из файла настроек</w:t>
            </w:r>
          </w:p>
        </w:tc>
      </w:tr>
      <w:tr>
        <w:tc>
          <w:tcPr>
            <w:tcW w:type="dxa" w:w="3324"/>
          </w:tcPr>
          <w:p>
            <w:r/>
            <w:r>
              <w:t>Подчинённые клиенты и вход по ключу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ManagedClientScenarios</w:t>
            </w:r>
            <w:r>
              <w:t xml:space="preserve"> (SQLite и PostgreSQL), </w:t>
            </w:r>
            <w:r>
              <w:rPr>
                <w:rFonts w:ascii="Consolas" w:hAnsi="Consolas"/>
                <w:sz w:val="18"/>
              </w:rPr>
              <w:t>ManagedClientsTests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tests/load/run-managed-load.ps1</w:t>
            </w:r>
            <w:r>
              <w:t>, UI-сценарий, контрактные тесты SDK .NET и Go</w:t>
            </w:r>
          </w:p>
        </w:tc>
        <w:tc>
          <w:tcPr>
            <w:tcW w:type="dxa" w:w="3324"/>
          </w:tcPr>
          <w:p>
            <w:r/>
            <w:r>
              <w:t xml:space="preserve">Создание с ключом → токен по </w:t>
            </w:r>
            <w:r>
              <w:rPr>
                <w:rFonts w:ascii="Consolas" w:hAnsi="Consolas"/>
                <w:sz w:val="18"/>
              </w:rPr>
              <w:t>private_key_jwt</w:t>
            </w:r>
            <w:r>
              <w:t xml:space="preserve"> с ролью и сроком политики; повтор </w:t>
            </w:r>
            <w:r>
              <w:rPr>
                <w:rFonts w:ascii="Consolas" w:hAnsi="Consolas"/>
                <w:sz w:val="18"/>
              </w:rPr>
              <w:t>jti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alg=none</w:t>
            </w:r>
            <w:r>
              <w:t xml:space="preserve">, HS256, чужая подпись, срок &gt; 5 мин, чужая </w:t>
            </w:r>
            <w:r>
              <w:rPr>
                <w:rFonts w:ascii="Consolas" w:hAnsi="Consolas"/>
                <w:sz w:val="18"/>
              </w:rPr>
              <w:t>aud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invalid_client</w:t>
            </w:r>
            <w:r>
              <w:t xml:space="preserve">; отключение → нет токена, introspection </w:t>
            </w:r>
            <w:r>
              <w:rPr>
                <w:rFonts w:ascii="Consolas" w:hAnsi="Consolas"/>
                <w:sz w:val="18"/>
              </w:rPr>
              <w:t>active=false</w:t>
            </w:r>
            <w:r>
              <w:t xml:space="preserve">, событие; удаление; чужой клиент — 404; роль вне списка, чужой scope, Admin API — 400; сервисный токен на изменение — 403; оператор без разрешения — 403; предел числа; два </w:t>
            </w:r>
            <w:r>
              <w:rPr>
                <w:rFonts w:ascii="Consolas" w:hAnsi="Consolas"/>
                <w:sz w:val="18"/>
              </w:rPr>
              <w:t>kid</w:t>
            </w:r>
            <w:r>
              <w:t xml:space="preserve">; два узла и общий </w:t>
            </w:r>
            <w:r>
              <w:rPr>
                <w:rFonts w:ascii="Consolas" w:hAnsi="Consolas"/>
                <w:sz w:val="18"/>
              </w:rPr>
              <w:t>jti</w:t>
            </w:r>
            <w:r>
              <w:t xml:space="preserve">; блокировка </w:t>
            </w:r>
            <w:r>
              <w:rPr>
                <w:rFonts w:ascii="Consolas" w:hAnsi="Consolas"/>
                <w:sz w:val="18"/>
              </w:rPr>
              <w:t>client_id</w:t>
            </w:r>
            <w:r>
              <w:t>; 200 подчинённых под нагрузкой без роста ошибок; владелец и подчинённые в админке, отключение из админки</w:t>
            </w:r>
          </w:p>
        </w:tc>
      </w:tr>
      <w:tr>
        <w:tc>
          <w:tcPr>
            <w:tcW w:type="dxa" w:w="3324"/>
          </w:tcPr>
          <w:p>
            <w:r/>
            <w:r>
              <w:t>Безопасность</w:t>
            </w:r>
          </w:p>
        </w:tc>
        <w:tc>
          <w:tcPr>
            <w:tcW w:type="dxa" w:w="3324"/>
          </w:tcPr>
          <w:p>
            <w:r/>
            <w:r>
              <w:t>Trivy, Dockle, gitleaks</w:t>
            </w:r>
          </w:p>
        </w:tc>
        <w:tc>
          <w:tcPr>
            <w:tcW w:type="dxa" w:w="3324"/>
          </w:tcPr>
          <w:p>
            <w:r/>
            <w:r>
              <w:t>0 уязвимостей, CIS пройден, 0 секретов</w:t>
            </w:r>
          </w:p>
        </w:tc>
      </w:tr>
      <w:tr>
        <w:tc>
          <w:tcPr>
            <w:tcW w:type="dxa" w:w="3324"/>
          </w:tcPr>
          <w:p>
            <w:r/>
            <w:r>
              <w:t>Документация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scripts/validate-docs.ps1</w:t>
            </w:r>
          </w:p>
        </w:tc>
        <w:tc>
          <w:tcPr>
            <w:tcW w:type="dxa" w:w="3324"/>
          </w:tcPr>
          <w:p>
            <w:r/>
            <w:r>
              <w:t>0 проблем</w:t>
            </w:r>
          </w:p>
        </w:tc>
      </w:tr>
      <w:tr>
        <w:tc>
          <w:tcPr>
            <w:tcW w:type="dxa" w:w="3324"/>
          </w:tcPr>
          <w:p>
            <w:r/>
            <w:r>
              <w:t>Восстановление</w:t>
            </w:r>
          </w:p>
        </w:tc>
        <w:tc>
          <w:tcPr>
            <w:tcW w:type="dxa" w:w="3324"/>
          </w:tcPr>
          <w:p>
            <w:r/>
            <w:r>
              <w:t>Проверка по К-3</w:t>
            </w:r>
          </w:p>
        </w:tc>
        <w:tc>
          <w:tcPr>
            <w:tcW w:type="dxa" w:w="3324"/>
          </w:tcPr>
          <w:p>
            <w:r/>
            <w:r>
              <w:t>Протокол с фактическим RTO</w:t>
            </w:r>
          </w:p>
        </w:tc>
      </w:tr>
    </w:tbl>
    <w:p/>
    <w:p>
      <w:r>
        <w:t>Приёмка версии: зелёные CI и E2E на коммите релиза, опубликованный подписанный образ, документация соответствует версии. Приёмка для первой очереди ERP дополнительно требует выполнения требований со статусом «1-я очередь» и сценария C07 архитектурного ЧТЗ: проверены технические клиенты, ограничения полномочий, административный доступ и секреты.</w:t>
      </w:r>
    </w:p>
    <w:p>
      <w:pPr>
        <w:pStyle w:val="Heading1"/>
      </w:pPr>
      <w:r>
        <w:t>15. Этапы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Ядро: протоколы, роли, пользователи</w:t>
            </w:r>
          </w:p>
        </w:tc>
        <w:tc>
          <w:tcPr>
            <w:tcW w:type="dxa" w:w="3324"/>
          </w:tcPr>
          <w:p>
            <w:r/>
            <w:r>
              <w:t>Сервис с админкой и Admin API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Кластер и безопасность</w:t>
            </w:r>
          </w:p>
        </w:tc>
        <w:tc>
          <w:tcPr>
            <w:tcW w:type="dxa" w:w="3324"/>
          </w:tcPr>
          <w:p>
            <w:r/>
            <w:r>
              <w:t>PostgreSQL, шифрование, защищённый образ, нагрузочные тесты и тесты отказов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API самообслуживания</w:t>
            </w:r>
          </w:p>
        </w:tc>
        <w:tc>
          <w:tcPr>
            <w:tcW w:type="dxa" w:w="3324"/>
          </w:tcPr>
          <w:p>
            <w:r/>
            <w:r>
              <w:t>App API, Bot API, лента событий, саморегистрация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Надёжность данных</w:t>
            </w:r>
          </w:p>
        </w:tc>
        <w:tc>
          <w:tcPr>
            <w:tcW w:type="dxa" w:w="3324"/>
          </w:tcPr>
          <w:p>
            <w:r/>
            <w:r>
              <w:t>Обновление схемы, перенос SQLite → PostgreSQL, самовосстановление БД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Наблюдаемость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/metrics</w:t>
            </w:r>
            <w:r>
              <w:t>, OpenTelemetry; VictoriaMetrics, VictoriaLogs, VictoriaTraces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Решения заказчика по вопросам ЧТЗ</w:t>
            </w:r>
          </w:p>
        </w:tc>
        <w:tc>
          <w:tcPr>
            <w:tcW w:type="dxa" w:w="3324"/>
          </w:tcPr>
          <w:p>
            <w:r/>
            <w:r>
              <w:t>Двухфакторный вход по ролям (Ф-18), отключение неактивных учётных записей (Ф-12), сроки хранения журнала по умолчанию (А-4)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Подчинённые клиенты и вход по ключу (РС-16)</w:t>
            </w:r>
          </w:p>
        </w:tc>
        <w:tc>
          <w:tcPr>
            <w:tcW w:type="dxa" w:w="3324"/>
          </w:tcPr>
          <w:p>
            <w:r/>
            <w:r>
              <w:t xml:space="preserve">Ф-28, Ф-29, Ф-30, Б-11: App API </w:t>
            </w:r>
            <w:r>
              <w:rPr>
                <w:rFonts w:ascii="Consolas" w:hAnsi="Consolas"/>
                <w:sz w:val="18"/>
              </w:rPr>
              <w:t>/api/app/clients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private_key_jwt</w:t>
            </w:r>
            <w:r>
              <w:t>, отключение клиентов, SDK .NET и Go, выпуск 1.5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Доработка для первой очереди ERP</w:t>
            </w:r>
          </w:p>
        </w:tc>
        <w:tc>
          <w:tcPr>
            <w:tcW w:type="dxa" w:w="3324"/>
          </w:tcPr>
          <w:p>
            <w:r/>
            <w:r>
              <w:t>Ф-9, Ф-11, отчёт Ф-12, А-2а, А-3, А-7, Н-6, К-1, К-3, пример FastAPI, профиль нагрузки 220 пользователей</w:t>
            </w:r>
          </w:p>
        </w:tc>
        <w:tc>
          <w:tcPr>
            <w:tcW w:type="dxa" w:w="3324"/>
          </w:tcPr>
          <w:p>
            <w:r/>
            <w:r>
              <w:t>запланирован</w:t>
            </w:r>
          </w:p>
        </w:tc>
      </w:tr>
    </w:tbl>
    <w:p/>
    <w:p>
      <w:pPr>
        <w:pStyle w:val="Heading1"/>
      </w:pPr>
      <w:r>
        <w:t>16. Обучение и инструкции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Документ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</w:tr>
      <w:tr>
        <w:tc>
          <w:tcPr>
            <w:tcW w:type="dxa" w:w="4986"/>
          </w:tcPr>
          <w:p>
            <w:r/>
            <w:r>
              <w:t>Обзор и быстрый старт</w:t>
            </w:r>
          </w:p>
        </w:tc>
        <w:tc>
          <w:tcPr>
            <w:tcW w:type="dxa" w:w="4986"/>
          </w:tcPr>
          <w:p>
            <w:r/>
            <w:r>
              <w:t>README</w:t>
            </w:r>
          </w:p>
        </w:tc>
      </w:tr>
      <w:tr>
        <w:tc>
          <w:tcPr>
            <w:tcW w:type="dxa" w:w="4986"/>
          </w:tcPr>
          <w:p>
            <w:r/>
            <w:r>
              <w:t>Архитектура</w:t>
            </w:r>
          </w:p>
        </w:tc>
        <w:tc>
          <w:tcPr>
            <w:tcW w:type="dxa" w:w="4986"/>
          </w:tcPr>
          <w:p>
            <w:r/>
            <w:r>
              <w:t>architecture.md</w:t>
            </w:r>
          </w:p>
        </w:tc>
      </w:tr>
      <w:tr>
        <w:tc>
          <w:tcPr>
            <w:tcW w:type="dxa" w:w="4986"/>
          </w:tcPr>
          <w:p>
            <w:r/>
            <w:r>
              <w:t>Развёртывание</w:t>
            </w:r>
          </w:p>
        </w:tc>
        <w:tc>
          <w:tcPr>
            <w:tcW w:type="dxa" w:w="4986"/>
          </w:tcPr>
          <w:p>
            <w:r/>
            <w:r>
              <w:t>deployment.md</w:t>
            </w:r>
          </w:p>
        </w:tc>
      </w:tr>
      <w:tr>
        <w:tc>
          <w:tcPr>
            <w:tcW w:type="dxa" w:w="4986"/>
          </w:tcPr>
          <w:p>
            <w:r/>
            <w:r>
              <w:t>Конфигурация</w:t>
            </w:r>
          </w:p>
        </w:tc>
        <w:tc>
          <w:tcPr>
            <w:tcW w:type="dxa" w:w="4986"/>
          </w:tcPr>
          <w:p>
            <w:r/>
            <w:r>
              <w:t>configuration.md</w:t>
            </w:r>
          </w:p>
        </w:tc>
      </w:tr>
      <w:tr>
        <w:tc>
          <w:tcPr>
            <w:tcW w:type="dxa" w:w="4986"/>
          </w:tcPr>
          <w:p>
            <w:r/>
            <w:r>
              <w:t>Интеграция приложений</w:t>
            </w:r>
          </w:p>
        </w:tc>
        <w:tc>
          <w:tcPr>
            <w:tcW w:type="dxa" w:w="4986"/>
          </w:tcPr>
          <w:p>
            <w:r/>
            <w:r>
              <w:t>integration.md</w:t>
            </w:r>
          </w:p>
        </w:tc>
      </w:tr>
      <w:tr>
        <w:tc>
          <w:tcPr>
            <w:tcW w:type="dxa" w:w="4986"/>
          </w:tcPr>
          <w:p>
            <w:r/>
            <w:r>
              <w:t>Руководство администратора</w:t>
            </w:r>
          </w:p>
        </w:tc>
        <w:tc>
          <w:tcPr>
            <w:tcW w:type="dxa" w:w="4986"/>
          </w:tcPr>
          <w:p>
            <w:r/>
            <w:r>
              <w:t>administration.md</w:t>
            </w:r>
          </w:p>
        </w:tc>
      </w:tr>
      <w:tr>
        <w:tc>
          <w:tcPr>
            <w:tcW w:type="dxa" w:w="4986"/>
          </w:tcPr>
          <w:p>
            <w:r/>
            <w:r>
              <w:t>Безопасность</w:t>
            </w:r>
          </w:p>
        </w:tc>
        <w:tc>
          <w:tcPr>
            <w:tcW w:type="dxa" w:w="4986"/>
          </w:tcPr>
          <w:p>
            <w:r/>
            <w:r>
              <w:t>security.md</w:t>
            </w:r>
          </w:p>
        </w:tc>
      </w:tr>
      <w:tr>
        <w:tc>
          <w:tcPr>
            <w:tcW w:type="dxa" w:w="4986"/>
          </w:tcPr>
          <w:p>
            <w:r/>
            <w:r>
              <w:t>Тестирование</w:t>
            </w:r>
          </w:p>
        </w:tc>
        <w:tc>
          <w:tcPr>
            <w:tcW w:type="dxa" w:w="4986"/>
          </w:tcPr>
          <w:p>
            <w:r/>
            <w:r>
              <w:t>testing.md</w:t>
            </w:r>
          </w:p>
        </w:tc>
      </w:tr>
      <w:tr>
        <w:tc>
          <w:tcPr>
            <w:tcW w:type="dxa" w:w="4986"/>
          </w:tcPr>
          <w:p>
            <w:r/>
            <w:r>
              <w:t>Регламент эксплуатации</w:t>
            </w:r>
          </w:p>
        </w:tc>
        <w:tc>
          <w:tcPr>
            <w:tcW w:type="dxa" w:w="4986"/>
          </w:tcPr>
          <w:p>
            <w:r/>
            <w:r>
              <w:t>operations.md</w:t>
            </w:r>
          </w:p>
        </w:tc>
      </w:tr>
      <w:tr>
        <w:tc>
          <w:tcPr>
            <w:tcW w:type="dxa" w:w="4986"/>
          </w:tcPr>
          <w:p>
            <w:r/>
            <w:r>
              <w:t>ArchiMate-модель</w:t>
            </w:r>
          </w:p>
        </w:tc>
        <w:tc>
          <w:tcPr>
            <w:tcW w:type="dxa" w:w="4986"/>
          </w:tcPr>
          <w:p>
            <w:r/>
            <w:r>
              <w:t>archimate/auth-architecture.drawio</w:t>
            </w:r>
          </w:p>
        </w:tc>
      </w:tr>
    </w:tbl>
    <w:p/>
    <w:p>
      <w:r>
        <w:t>Документация актуализируется вместе с кодом; расхождение документации и поведения считается дефектом (04.14).</w:t>
      </w:r>
    </w:p>
    <w:p>
      <w:pPr>
        <w:pStyle w:val="Heading1"/>
      </w:pPr>
      <w:r>
        <w:t>17. Соответствие общему ТЗ ERP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 общего ТЗ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Раздел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Где выполняется</w:t>
            </w:r>
          </w:p>
        </w:tc>
      </w:tr>
      <w:tr>
        <w:tc>
          <w:tcPr>
            <w:tcW w:type="dxa" w:w="3324"/>
          </w:tcPr>
          <w:p>
            <w:r/>
            <w:r>
              <w:t>Единая учётная запись, единая идентификация и аутентификация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Ф-1, Ф-7</w:t>
            </w:r>
          </w:p>
        </w:tc>
      </w:tr>
      <w:tr>
        <w:tc>
          <w:tcPr>
            <w:tcW w:type="dxa" w:w="3324"/>
          </w:tcPr>
          <w:p>
            <w:r/>
            <w:r>
              <w:t>OIDC для пользователей и технических клиентов</w:t>
            </w:r>
          </w:p>
        </w:tc>
        <w:tc>
          <w:tcPr>
            <w:tcW w:type="dxa" w:w="3324"/>
          </w:tcPr>
          <w:p>
            <w:r/>
            <w:r>
              <w:t>04.02</w:t>
            </w:r>
          </w:p>
        </w:tc>
        <w:tc>
          <w:tcPr>
            <w:tcW w:type="dxa" w:w="3324"/>
          </w:tcPr>
          <w:p>
            <w:r/>
            <w:r>
              <w:t>Ф-1, Ф-21</w:t>
            </w:r>
          </w:p>
        </w:tc>
      </w:tr>
      <w:tr>
        <w:tc>
          <w:tcPr>
            <w:tcW w:type="dxa" w:w="3324"/>
          </w:tcPr>
          <w:p>
            <w:r/>
            <w:r>
              <w:t>Матрица прав на уровне операций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Ф-6</w:t>
            </w:r>
          </w:p>
        </w:tc>
      </w:tr>
      <w:tr>
        <w:tc>
          <w:tcPr>
            <w:tcW w:type="dxa" w:w="3324"/>
          </w:tcPr>
          <w:p>
            <w:r/>
            <w:r>
              <w:t>Совмещение ролей и блокировка несовместимых полномочий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Ф-7; несовместимые роли не определены (В-8)</w:t>
            </w:r>
          </w:p>
        </w:tc>
      </w:tr>
      <w:tr>
        <w:tc>
          <w:tcPr>
            <w:tcW w:type="dxa" w:w="3324"/>
          </w:tcPr>
          <w:p>
            <w:r/>
            <w:r>
              <w:t>Области доступа по организациям, подразделениям, ЦФО, проектам, объектам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ядро ERP (В-1)</w:t>
            </w:r>
          </w:p>
        </w:tc>
      </w:tr>
      <w:tr>
        <w:tc>
          <w:tcPr>
            <w:tcW w:type="dxa" w:w="3324"/>
          </w:tcPr>
          <w:p>
            <w:r/>
            <w:r>
              <w:t>Период действия прав, делегирование, замещение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Ф-9, Ф-11</w:t>
            </w:r>
          </w:p>
        </w:tc>
      </w:tr>
      <w:tr>
        <w:tc>
          <w:tcPr>
            <w:tcW w:type="dxa" w:w="3324"/>
          </w:tcPr>
          <w:p>
            <w:r/>
            <w:r>
              <w:t>Прекращение доступа при смене роли или увольнении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Ф-14, Ф-19</w:t>
            </w:r>
          </w:p>
        </w:tc>
      </w:tr>
      <w:tr>
        <w:tc>
          <w:tcPr>
            <w:tcW w:type="dxa" w:w="3324"/>
          </w:tcPr>
          <w:p>
            <w:r/>
            <w:r>
              <w:t>Периодическая проверка актуальности прав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Ф-12</w:t>
            </w:r>
          </w:p>
        </w:tc>
      </w:tr>
      <w:tr>
        <w:tc>
          <w:tcPr>
            <w:tcW w:type="dxa" w:w="3324"/>
          </w:tcPr>
          <w:p>
            <w:r/>
            <w:r>
              <w:t>Разделение технического администрирования и бизнес-данных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Ф-13, раздел 9</w:t>
            </w:r>
          </w:p>
        </w:tc>
      </w:tr>
      <w:tr>
        <w:tc>
          <w:tcPr>
            <w:tcW w:type="dxa" w:w="3324"/>
          </w:tcPr>
          <w:p>
            <w:r/>
            <w:r>
              <w:t>Многофакторная аутентификация для административных ролей и критических операций</w:t>
            </w:r>
          </w:p>
        </w:tc>
        <w:tc>
          <w:tcPr>
            <w:tcW w:type="dxa" w:w="3324"/>
          </w:tcPr>
          <w:p>
            <w:r/>
            <w:r>
              <w:t>04.09</w:t>
            </w:r>
          </w:p>
        </w:tc>
        <w:tc>
          <w:tcPr>
            <w:tcW w:type="dxa" w:w="3324"/>
          </w:tcPr>
          <w:p>
            <w:r/>
            <w:r>
              <w:t>Ф-18</w:t>
            </w:r>
          </w:p>
        </w:tc>
      </w:tr>
      <w:tr>
        <w:tc>
          <w:tcPr>
            <w:tcW w:type="dxa" w:w="3324"/>
          </w:tcPr>
          <w:p>
            <w:r/>
            <w:r>
              <w:t>Секреты в защищённом хранилище, контроль секретов в коде</w:t>
            </w:r>
          </w:p>
        </w:tc>
        <w:tc>
          <w:tcPr>
            <w:tcW w:type="dxa" w:w="3324"/>
          </w:tcPr>
          <w:p>
            <w:r/>
            <w:r>
              <w:t>04.09</w:t>
            </w:r>
          </w:p>
        </w:tc>
        <w:tc>
          <w:tcPr>
            <w:tcW w:type="dxa" w:w="3324"/>
          </w:tcPr>
          <w:p>
            <w:r/>
            <w:r>
              <w:t>Б-3–Б-5</w:t>
            </w:r>
          </w:p>
        </w:tc>
      </w:tr>
      <w:tr>
        <w:tc>
          <w:tcPr>
            <w:tcW w:type="dxa" w:w="3324"/>
          </w:tcPr>
          <w:p>
            <w:r/>
            <w:r>
              <w:t>Шифрование данных и каналов</w:t>
            </w:r>
          </w:p>
        </w:tc>
        <w:tc>
          <w:tcPr>
            <w:tcW w:type="dxa" w:w="3324"/>
          </w:tcPr>
          <w:p>
            <w:r/>
            <w:r>
              <w:t>04.09</w:t>
            </w:r>
          </w:p>
        </w:tc>
        <w:tc>
          <w:tcPr>
            <w:tcW w:type="dxa" w:w="3324"/>
          </w:tcPr>
          <w:p>
            <w:r/>
            <w:r>
              <w:t>Б-1, Б-6</w:t>
            </w:r>
          </w:p>
        </w:tc>
      </w:tr>
      <w:tr>
        <w:tc>
          <w:tcPr>
            <w:tcW w:type="dxa" w:w="3324"/>
          </w:tcPr>
          <w:p>
            <w:r/>
            <w:r>
              <w:t>Маскирование чувствительных полей</w:t>
            </w:r>
          </w:p>
        </w:tc>
        <w:tc>
          <w:tcPr>
            <w:tcW w:type="dxa" w:w="3324"/>
          </w:tcPr>
          <w:p>
            <w:r/>
            <w:r>
              <w:t>04.09</w:t>
            </w:r>
          </w:p>
        </w:tc>
        <w:tc>
          <w:tcPr>
            <w:tcW w:type="dxa" w:w="3324"/>
          </w:tcPr>
          <w:p>
            <w:r/>
            <w:r>
              <w:t>ядро ERP</w:t>
            </w:r>
          </w:p>
        </w:tc>
      </w:tr>
      <w:tr>
        <w:tc>
          <w:tcPr>
            <w:tcW w:type="dxa" w:w="3324"/>
          </w:tcPr>
          <w:p>
            <w:r/>
            <w:r>
              <w:t>Аудит входов, учётных записей, назначений; защита журнала</w:t>
            </w:r>
          </w:p>
        </w:tc>
        <w:tc>
          <w:tcPr>
            <w:tcW w:type="dxa" w:w="3324"/>
          </w:tcPr>
          <w:p>
            <w:r/>
            <w:r>
              <w:t>04.15</w:t>
            </w:r>
          </w:p>
        </w:tc>
        <w:tc>
          <w:tcPr>
            <w:tcW w:type="dxa" w:w="3324"/>
          </w:tcPr>
          <w:p>
            <w:r/>
            <w:r>
              <w:t>А-1–А-7, А-2а</w:t>
            </w:r>
          </w:p>
        </w:tc>
      </w:tr>
      <w:tr>
        <w:tc>
          <w:tcPr>
            <w:tcW w:type="dxa" w:w="3324"/>
          </w:tcPr>
          <w:p>
            <w:r/>
            <w:r>
              <w:t>Доступность 99,5 %, RPO 15 мин, RTO 4 ч</w:t>
            </w:r>
          </w:p>
        </w:tc>
        <w:tc>
          <w:tcPr>
            <w:tcW w:type="dxa" w:w="3324"/>
          </w:tcPr>
          <w:p>
            <w:r/>
            <w:r>
              <w:t>04.07</w:t>
            </w:r>
          </w:p>
        </w:tc>
        <w:tc>
          <w:tcPr>
            <w:tcW w:type="dxa" w:w="3324"/>
          </w:tcPr>
          <w:p>
            <w:r/>
            <w:r>
              <w:t>Н-1–Н-6</w:t>
            </w:r>
          </w:p>
        </w:tc>
      </w:tr>
      <w:tr>
        <w:tc>
          <w:tcPr>
            <w:tcW w:type="dxa" w:w="3324"/>
          </w:tcPr>
          <w:p>
            <w:r/>
            <w:r>
              <w:t>Резервное копирование и проверка восстановления</w:t>
            </w:r>
          </w:p>
        </w:tc>
        <w:tc>
          <w:tcPr>
            <w:tcW w:type="dxa" w:w="3324"/>
          </w:tcPr>
          <w:p>
            <w:r/>
            <w:r>
              <w:t>04.08</w:t>
            </w:r>
          </w:p>
        </w:tc>
        <w:tc>
          <w:tcPr>
            <w:tcW w:type="dxa" w:w="3324"/>
          </w:tcPr>
          <w:p>
            <w:r/>
            <w:r>
              <w:t>К-1–К-3</w:t>
            </w:r>
          </w:p>
        </w:tc>
      </w:tr>
      <w:tr>
        <w:tc>
          <w:tcPr>
            <w:tcW w:type="dxa" w:w="3324"/>
          </w:tcPr>
          <w:p>
            <w:r/>
            <w:r>
              <w:t>Мониторинг, метрики, трассировка</w:t>
            </w:r>
          </w:p>
        </w:tc>
        <w:tc>
          <w:tcPr>
            <w:tcW w:type="dxa" w:w="3324"/>
          </w:tcPr>
          <w:p>
            <w:r/>
            <w:r>
              <w:t>04.10</w:t>
            </w:r>
          </w:p>
        </w:tc>
        <w:tc>
          <w:tcPr>
            <w:tcW w:type="dxa" w:w="3324"/>
          </w:tcPr>
          <w:p>
            <w:r/>
            <w:r>
              <w:t>11.7</w:t>
            </w:r>
          </w:p>
        </w:tc>
      </w:tr>
      <w:tr>
        <w:tc>
          <w:tcPr>
            <w:tcW w:type="dxa" w:w="3324"/>
          </w:tcPr>
          <w:p>
            <w:r/>
            <w:r>
              <w:t>Разделение сред</w:t>
            </w:r>
          </w:p>
        </w:tc>
        <w:tc>
          <w:tcPr>
            <w:tcW w:type="dxa" w:w="3324"/>
          </w:tcPr>
          <w:p>
            <w:r/>
            <w:r>
              <w:t>04.11</w:t>
            </w:r>
          </w:p>
        </w:tc>
        <w:tc>
          <w:tcPr>
            <w:tcW w:type="dxa" w:w="3324"/>
          </w:tcPr>
          <w:p>
            <w:r/>
            <w:r>
              <w:t>11.8</w:t>
            </w:r>
          </w:p>
        </w:tc>
      </w:tr>
      <w:tr>
        <w:tc>
          <w:tcPr>
            <w:tcW w:type="dxa" w:w="3324"/>
          </w:tcPr>
          <w:p>
            <w:r/>
            <w:r>
              <w:t>Выпуск и откат не более 30 минут</w:t>
            </w:r>
          </w:p>
        </w:tc>
        <w:tc>
          <w:tcPr>
            <w:tcW w:type="dxa" w:w="3324"/>
          </w:tcPr>
          <w:p>
            <w:r/>
            <w:r>
              <w:t>04.12</w:t>
            </w:r>
          </w:p>
        </w:tc>
        <w:tc>
          <w:tcPr>
            <w:tcW w:type="dxa" w:w="3324"/>
          </w:tcPr>
          <w:p>
            <w:r/>
            <w:r>
              <w:t>Р-4, Р-5</w:t>
            </w:r>
          </w:p>
        </w:tc>
      </w:tr>
      <w:tr>
        <w:tc>
          <w:tcPr>
            <w:tcW w:type="dxa" w:w="3324"/>
          </w:tcPr>
          <w:p>
            <w:r/>
            <w:r>
              <w:t>Передача исходного кода, тестов, документации</w:t>
            </w:r>
          </w:p>
        </w:tc>
        <w:tc>
          <w:tcPr>
            <w:tcW w:type="dxa" w:w="3324"/>
          </w:tcPr>
          <w:p>
            <w:r/>
            <w:r>
              <w:t>04.14</w:t>
            </w:r>
          </w:p>
        </w:tc>
        <w:tc>
          <w:tcPr>
            <w:tcW w:type="dxa" w:w="3324"/>
          </w:tcPr>
          <w:p>
            <w:r/>
            <w:r>
              <w:t>разделы 14, 16</w:t>
            </w:r>
          </w:p>
        </w:tc>
      </w:tr>
    </w:tbl>
    <w:p/>
    <w:p>
      <w:pPr>
        <w:pStyle w:val="Heading1"/>
      </w:pPr>
      <w:r>
        <w:t>18. Принятые решения по вопросам</w:t>
      </w:r>
    </w:p>
    <w:p>
      <w:r>
        <w:t>Ответы заказчика на вопросы для ЧТЗ.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Вопрос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</w:tr>
      <w:tr>
        <w:tc>
          <w:tcPr>
            <w:tcW w:type="dxa" w:w="3324"/>
          </w:tcPr>
          <w:p>
            <w:r/>
            <w:r>
              <w:t>В-1</w:t>
            </w:r>
          </w:p>
        </w:tc>
        <w:tc>
          <w:tcPr>
            <w:tcW w:type="dxa" w:w="3324"/>
          </w:tcPr>
          <w:p>
            <w:r/>
            <w:r>
              <w:t>Где хранятся области доступа</w:t>
            </w:r>
          </w:p>
        </w:tc>
        <w:tc>
          <w:tcPr>
            <w:tcW w:type="dxa" w:w="3324"/>
          </w:tcPr>
          <w:p>
            <w:r/>
            <w:r>
              <w:t>В отдельной базе ядра ERP рядом с оргструктурой. tsl-auth их не хранит</w:t>
            </w:r>
          </w:p>
        </w:tc>
      </w:tr>
      <w:tr>
        <w:tc>
          <w:tcPr>
            <w:tcW w:type="dxa" w:w="3324"/>
          </w:tcPr>
          <w:p>
            <w:r/>
            <w:r>
              <w:t>В-2</w:t>
            </w:r>
          </w:p>
        </w:tc>
        <w:tc>
          <w:tcPr>
            <w:tcW w:type="dxa" w:w="3324"/>
          </w:tcPr>
          <w:p>
            <w:r/>
            <w:r>
              <w:t>Делегирование и замещение</w:t>
            </w:r>
          </w:p>
        </w:tc>
        <w:tc>
          <w:tcPr>
            <w:tcW w:type="dxa" w:w="3324"/>
          </w:tcPr>
          <w:p>
            <w:r/>
            <w:r>
              <w:t>Замещение назначает администратор доступа (Ф-11)</w:t>
            </w:r>
          </w:p>
        </w:tc>
      </w:tr>
      <w:tr>
        <w:tc>
          <w:tcPr>
            <w:tcW w:type="dxa" w:w="3324"/>
          </w:tcPr>
          <w:p>
            <w:r/>
            <w:r>
              <w:t>В-3</w:t>
            </w:r>
          </w:p>
        </w:tc>
        <w:tc>
          <w:tcPr>
            <w:tcW w:type="dxa" w:w="3324"/>
          </w:tcPr>
          <w:p>
            <w:r/>
            <w:r>
              <w:t>Прекращение доступа при увольнении</w:t>
            </w:r>
          </w:p>
        </w:tc>
        <w:tc>
          <w:tcPr>
            <w:tcW w:type="dxa" w:w="3324"/>
          </w:tcPr>
          <w:p>
            <w:r/>
            <w:r>
              <w:t>Как отзыв refresh-токена: применяется при следующем refresh, не позднее 15 минут (Ф-19)</w:t>
            </w:r>
          </w:p>
        </w:tc>
      </w:tr>
      <w:tr>
        <w:tc>
          <w:tcPr>
            <w:tcW w:type="dxa" w:w="3324"/>
          </w:tcPr>
          <w:p>
            <w:r/>
            <w:r>
              <w:t>В-4</w:t>
            </w:r>
          </w:p>
        </w:tc>
        <w:tc>
          <w:tcPr>
            <w:tcW w:type="dxa" w:w="3324"/>
          </w:tcPr>
          <w:p>
            <w:r/>
            <w:r>
              <w:t>Срок развёртывания OpenBao</w:t>
            </w:r>
          </w:p>
        </w:tc>
        <w:tc>
          <w:tcPr>
            <w:tcW w:type="dxa" w:w="3324"/>
          </w:tcPr>
          <w:p>
            <w:r/>
            <w:r>
              <w:t xml:space="preserve">На MVP секреты хранятся в </w:t>
            </w:r>
            <w:r>
              <w:rPr>
                <w:rFonts w:ascii="Consolas" w:hAnsi="Consolas"/>
                <w:sz w:val="18"/>
              </w:rPr>
              <w:t>.env</w:t>
            </w:r>
            <w:r>
              <w:t xml:space="preserve"> и файле настроек</w:t>
            </w:r>
          </w:p>
        </w:tc>
      </w:tr>
      <w:tr>
        <w:tc>
          <w:tcPr>
            <w:tcW w:type="dxa" w:w="3324"/>
          </w:tcPr>
          <w:p>
            <w:r/>
            <w:r>
              <w:t>В-5</w:t>
            </w:r>
          </w:p>
        </w:tc>
        <w:tc>
          <w:tcPr>
            <w:tcW w:type="dxa" w:w="3324"/>
          </w:tcPr>
          <w:p>
            <w:r/>
            <w:r>
              <w:t>Сроки хранения журнала</w:t>
            </w:r>
          </w:p>
        </w:tc>
        <w:tc>
          <w:tcPr>
            <w:tcW w:type="dxa" w:w="3324"/>
          </w:tcPr>
          <w:p>
            <w:r/>
            <w:r>
              <w:t>По умолчанию: входы — 1 год, изменения и действия администраторов — 5 лет, технические события — 90 дней (А-4, реализовано)</w:t>
            </w:r>
          </w:p>
        </w:tc>
      </w:tr>
      <w:tr>
        <w:tc>
          <w:tcPr>
            <w:tcW w:type="dxa" w:w="3324"/>
          </w:tcPr>
          <w:p>
            <w:r/>
            <w:r>
              <w:t>В-6</w:t>
            </w:r>
          </w:p>
        </w:tc>
        <w:tc>
          <w:tcPr>
            <w:tcW w:type="dxa" w:w="3324"/>
          </w:tcPr>
          <w:p>
            <w:r/>
            <w:r>
              <w:t>Резервное копирование и мастер-ключ</w:t>
            </w:r>
          </w:p>
        </w:tc>
        <w:tc>
          <w:tcPr>
            <w:tcW w:type="dxa" w:w="3324"/>
          </w:tcPr>
          <w:p>
            <w:r/>
            <w:r>
              <w:t>В промышленной среде мастер-ключ и секреты — в OpenBao, отдельно от копий БД (К-1)</w:t>
            </w:r>
          </w:p>
        </w:tc>
      </w:tr>
      <w:tr>
        <w:tc>
          <w:tcPr>
            <w:tcW w:type="dxa" w:w="3324"/>
          </w:tcPr>
          <w:p>
            <w:r/>
            <w:r>
              <w:t>В-7</w:t>
            </w:r>
          </w:p>
        </w:tc>
        <w:tc>
          <w:tcPr>
            <w:tcW w:type="dxa" w:w="3324"/>
          </w:tcPr>
          <w:p>
            <w:r/>
            <w:r>
              <w:t>Критические операции с повторным подтверждением</w:t>
            </w:r>
          </w:p>
        </w:tc>
        <w:tc>
          <w:tcPr>
            <w:tcW w:type="dxa" w:w="3324"/>
          </w:tcPr>
          <w:p>
            <w:r/>
            <w:r>
              <w:t xml:space="preserve">Не относится к tsl-auth: определяется прикладной системой, например документооборотом. tsl-auth передаёт claim </w:t>
            </w:r>
            <w:r>
              <w:rPr>
                <w:rFonts w:ascii="Consolas" w:hAnsi="Consolas"/>
                <w:sz w:val="18"/>
              </w:rPr>
              <w:t>amr</w:t>
            </w:r>
          </w:p>
        </w:tc>
      </w:tr>
      <w:tr>
        <w:tc>
          <w:tcPr>
            <w:tcW w:type="dxa" w:w="3324"/>
          </w:tcPr>
          <w:p>
            <w:r/>
            <w:r>
              <w:t>В-8</w:t>
            </w:r>
          </w:p>
        </w:tc>
        <w:tc>
          <w:tcPr>
            <w:tcW w:type="dxa" w:w="3324"/>
          </w:tcPr>
          <w:p>
            <w:r/>
            <w:r>
              <w:t>Несовместимые роли</w:t>
            </w:r>
          </w:p>
        </w:tc>
        <w:tc>
          <w:tcPr>
            <w:tcW w:type="dxa" w:w="3324"/>
          </w:tcPr>
          <w:p>
            <w:r/>
            <w:r>
              <w:t>Не требуются: доступ задаётся матрицей «роль × разрешение» (Ф-10)</w:t>
            </w:r>
          </w:p>
        </w:tc>
      </w:tr>
      <w:tr>
        <w:tc>
          <w:tcPr>
            <w:tcW w:type="dxa" w:w="3324"/>
          </w:tcPr>
          <w:p>
            <w:r/>
            <w:r>
              <w:t>В-9</w:t>
            </w:r>
          </w:p>
        </w:tc>
        <w:tc>
          <w:tcPr>
            <w:tcW w:type="dxa" w:w="3324"/>
          </w:tcPr>
          <w:p>
            <w:r/>
            <w:r>
              <w:t>Способ второго фактора</w:t>
            </w:r>
          </w:p>
        </w:tc>
        <w:tc>
          <w:tcPr>
            <w:tcW w:type="dxa" w:w="3324"/>
          </w:tcPr>
          <w:p>
            <w:r/>
            <w:r>
              <w:t>Код на email и в мессенджер через бота; какие роли требуют второй фактор, задаёт администратор флагом роли. TOTP и аппаратные ключи — задел на будущее (Ф-18, реализовано)</w:t>
            </w:r>
          </w:p>
        </w:tc>
      </w:tr>
      <w:tr>
        <w:tc>
          <w:tcPr>
            <w:tcW w:type="dxa" w:w="3324"/>
          </w:tcPr>
          <w:p>
            <w:r/>
            <w:r>
              <w:t>В-10</w:t>
            </w:r>
          </w:p>
        </w:tc>
        <w:tc>
          <w:tcPr>
            <w:tcW w:type="dxa" w:w="3324"/>
          </w:tcPr>
          <w:p>
            <w:r/>
            <w:r>
              <w:t>Отключение неактивных учётных записей</w:t>
            </w:r>
          </w:p>
        </w:tc>
        <w:tc>
          <w:tcPr>
            <w:tcW w:type="dxa" w:w="3324"/>
          </w:tcPr>
          <w:p>
            <w:r/>
            <w:r>
              <w:t>Автоматически после 90 дней без входа, кроме администраторов сервиса — их отключают только вручную (Ф-12, реализовано)</w:t>
            </w:r>
          </w:p>
        </w:tc>
      </w:tr>
      <w:tr>
        <w:tc>
          <w:tcPr>
            <w:tcW w:type="dxa" w:w="3324"/>
          </w:tcPr>
          <w:p>
            <w:r/>
            <w:r>
              <w:t>В-11</w:t>
            </w:r>
          </w:p>
        </w:tc>
        <w:tc>
          <w:tcPr>
            <w:tcW w:type="dxa" w:w="3324"/>
          </w:tcPr>
          <w:p>
            <w:r/>
            <w:r>
              <w:t xml:space="preserve">Привязка токена подчинённого клиента к ключу (DPoP, RFC 9449; постановка </w:t>
            </w:r>
            <w:r>
              <w:rPr>
                <w:rFonts w:ascii="Consolas" w:hAnsi="Consolas"/>
                <w:sz w:val="18"/>
              </w:rPr>
              <w:t>task-managed-clients.md</w:t>
            </w:r>
            <w:r>
              <w:t>, этап 2)</w:t>
            </w:r>
          </w:p>
        </w:tc>
        <w:tc>
          <w:tcPr>
            <w:tcW w:type="dxa" w:w="3324"/>
          </w:tcPr>
          <w:p>
            <w:r/>
            <w:r>
              <w:t>Отложено: OpenIddict 7.7 не поддерживает DPoP. Пока риск кражи access-токена ограничен сроком 5 минут и отключением клиента; вернуться при появлении поддержки в OpenIddict или переходе на mTLS (RFC 8705)</w:t>
            </w:r>
          </w:p>
        </w:tc>
      </w:tr>
    </w:tbl>
    <w:p/>
    <w:p>
      <w:r>
        <w:t>Остаются открытыми: частота пересмотра прав и ответственные за него; срок, после которого отключённая учётная запись удаляется.</w:t>
      </w:r>
    </w:p>
    <w:p>
      <w:pPr>
        <w:pStyle w:val="Heading1"/>
      </w:pPr>
      <w:r>
        <w:t>Использованные материалы</w:t>
      </w:r>
    </w:p>
    <w:p>
      <w:r>
        <w:t>Статьи базы знаний: UKA-A-91 (03.01), UKA-A-122 и UKA-A-311 (04.02, 04.02.01, вопрос A02), UKA-A-124 (04.05), UKA-A-126 (04.07), UKA-A-127 (04.08), UKA-A-128 (04.09), UKA-A-129 (04.10), UKA-A-130 (04.11), UKA-A-131 (04.12), UKA-A-133 (04.14), UKA-A-98 (04.15), UKA-A-99 (07.01, шаблон ЧТЗ).</w:t>
      </w:r>
    </w:p>
    <w:p>
      <w:r>
        <w:t>Допущения: для расчёта нагрузки принимается 220 одновременно активных пользователей; требования к доступности tsl-auth приняты равными требованиям к операционному ядру ERP, потому что без входа ядро недоступно.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