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2.1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Исключено решением заказчика (раздел 18)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двухфакторный вход, выход, сессии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Двухфакторный вход: пароль → код с почты или из мессенджера (для ролей с флагом 2FA).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Автоматическое отключение учётной записи без входа 90 дней (кроме администраторов сервиса).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2008"/>
        <w:gridCol w:w="4819"/>
      </w:tblGrid>
      <w:tr>
        <w:trPr>
          <w:tblHeader/>
        </w:trP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(отдельная база)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ERP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"/>
        <w:gridCol w:w="5669"/>
        <w:gridCol w:w="3591"/>
      </w:tblGrid>
      <w:tr>
        <w:trPr>
          <w:tblHeader/>
        </w:trP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administrator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user.disabled_inactive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уходит в ленту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security.alert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Отчёт для пересмотра прав с выгрузкой в CSV — 1-я очередь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(отключение); 1-я очередь (отчёт)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PUT /api/admin/applications/{client}/roles/{role}/two-factor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бот получает код по Bot API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/api/bot/2fa-code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mfa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token.*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90 дней. Сроки меняются в настройках (решение В-5)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умолчанию заданы решением В-5 и меняются в настройках.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7229"/>
        <w:gridCol w:w="1927"/>
      </w:tblGrid>
      <w:tr>
        <w:trPr>
          <w:tblHeader/>
        </w:trP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в формате Prometheus (</w:t>
      </w:r>
      <w:r>
        <w:rPr>
          <w:rFonts w:ascii="Consolas" w:cs="Consolas" w:eastAsia="Consolas" w:hAnsi="Consolas"/>
          <w:sz w:val="20"/>
          <w:szCs w:val="20"/>
        </w:rPr>
        <w:t xml:space="preserve">/metrics</w:t>
      </w:r>
      <w:r>
        <w:rPr>
          <w:rFonts w:ascii="Arial" w:cs="Arial" w:eastAsia="Arial" w:hAnsi="Arial"/>
          <w:sz w:val="22"/>
          <w:szCs w:val="22"/>
        </w:rPr>
        <w:t xml:space="preserve">, их опрашивает VictoriaMetrics), трассировки по OTLP (через коллектор в VictoriaTraces), журналы в stdout (их собирает Vector в VictoriaLogs).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TwoFactorScenarios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(SQLite и PostgreSQL),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SettingsTests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/metrics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OpenTelemetry; VictoriaMetrics, VictoriaLogs, VictoriaTraces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 по вопросам ЧТЗ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1006"/>
        <w:gridCol w:w="3603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Ф-7; несовместимые роли не определены (В-8)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(В-1)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Принятые решения по вопросам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Ответы заказчика на вопросы для ЧТЗ.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Принятые решения по вопросам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4081"/>
        <w:gridCol w:w="5210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отдельной базе ядра ERP рядом с оргструктурой. tsl-auth их не хранит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Делегирование и замещение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администратор доступа (Ф-11)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увольнении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MVP секреты хранятся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мастер-ключ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Критические операции с повторным подтверждением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требуются: доступ задаётся матрицей «роль × разрешение» (Ф-10)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Отключение неактивных учётных записей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6564bad4b27e51fd17b63b1a06f2e2c728329b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038c3745fa8cce9e1d4b0d490c30b625a6304fc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2026-09-28T20:05:46.219Z</dcterms:created>
  <dcterms:modified xsi:type="dcterms:W3CDTF">2026-09-28T20:05:46.220Z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