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ВОПРОСЫ ДЛЯ СОГЛАСОВАНИЯ</w:t>
      </w:r>
    </w:p>
    <w:p>
      <w:pPr>
        <w:spacing w:after="200"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Вопросы для ЧТЗ 04.09.01. Сервис идентификации и доступа TSL Auth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ERP «Уклад»: компонент «Управление идентификацией»</w:t>
      </w:r>
    </w:p>
    <w:p>
      <w:pPr>
        <w:spacing w:before="2400"/>
        <w:jc w:val="center"/>
      </w:pPr>
      <w:r>
        <w:rPr>
          <w:rFonts w:ascii="Arial" w:cs="Arial" w:eastAsia="Arial" w:hAnsi="Arial"/>
          <w:sz w:val="22"/>
          <w:szCs w:val="22"/>
        </w:rPr>
        <w:t xml:space="preserve">Версия 1.0 от 28.09.2026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Статус: проект для согласования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Структура — по шаблону ЧТЗ базы знаний UKA (07.01).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Чтобы обновить содержание, откройте документ в Word и нажмите F9 на поле содержания.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Вопросы к ЧТЗ. Ответы заказчика от 28.09.2026 внесены в раздел 18 ЧТЗ «Принятые решения»; ниже — исходная постановка вопросов. По каждому указано, что уже есть, какие варианты рассматриваются, что зависит от ответа и кто решает. Предложение исполнителя — не решение: до ответа требование остаётся в статусе «вопрос». Порядок — по влиянию на первую очередь.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Сводка</w:t>
      </w:r>
    </w:p>
    <w:p>
      <w:pPr>
        <w:keepNext/>
        <w:spacing w:after="8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1. Сводка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"/>
        <w:gridCol w:w="3829"/>
        <w:gridCol w:w="2905"/>
        <w:gridCol w:w="2640"/>
      </w:tblGrid>
      <w:tr>
        <w:trPr>
          <w:tblHeader/>
        </w:trP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решает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блокирует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В-1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Где хранятся области доступа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Архитектор ERP, ответственный за авторизацию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Модель прав ядра ERP, состав токена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В-3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Источник кадровых событий и допустимая задержка отключения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ИТ заказчика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Ф-19, прекращение доступа при увольнении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В-2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Правила делегирования и замещения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владельцы процессов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Ф-11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В-7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Критические операции с повторным подтверждением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владельцы процессов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Ф-18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В-5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Сроки хранения журнала и доступ аудитора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служба безопасности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А-4, А-7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В-6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Площадка резервного копирования и хранение мастер-ключа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ИТ заказчика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К-1, К-3, Н-6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В-4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Срок развёртывания OpenBao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ИТ заказчика, архитектор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Б-5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В-8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 несовместимых ролей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служба безопасности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Ф-10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В-9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Способ второго фактора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служба безопасности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Ф-18</w:t>
            </w:r>
          </w:p>
        </w:tc>
      </w:tr>
      <w:tr>
        <w:tc>
          <w:tcPr>
            <w:tcW w:type="dxa" w:w="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В-10</w:t>
            </w:r>
          </w:p>
        </w:tc>
        <w:tc>
          <w:tcPr>
            <w:tcW w:type="dxa" w:w="3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Срок неактивности и частота пересмотра прав</w:t>
            </w:r>
          </w:p>
        </w:tc>
        <w:tc>
          <w:tcPr>
            <w:tcW w:type="dxa" w:w="2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Заказчик, служба безопасности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Ф-12</w:t>
            </w:r>
          </w:p>
        </w:tc>
      </w:tr>
    </w:tbl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В-1. Где хранятся области доступа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Общее ТЗ требует ограничивать доступ по организациям, подразделениям, ЦФО, проектам и объектам (03.01, 04.09). Сейчас tsl-auth хранит роли и разрешения на операции; областей доступа в нём нет.</w:t>
      </w:r>
    </w:p>
    <w:p>
      <w:pPr>
        <w:keepNext/>
        <w:spacing w:after="8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2. В-1. Где хранятся области доступа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4348"/>
        <w:gridCol w:w="4348"/>
      </w:tblGrid>
      <w:tr>
        <w:trPr>
          <w:tblHeader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4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работает</w:t>
            </w:r>
          </w:p>
        </w:tc>
        <w:tc>
          <w:tcPr>
            <w:tcW w:type="dxa" w:w="4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Последствия</w:t>
            </w:r>
          </w:p>
        </w:tc>
      </w:tr>
      <w:t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А. В ядре ERP</w:t>
            </w:r>
          </w:p>
        </w:tc>
        <w:tc>
          <w:tcPr>
            <w:tcW w:type="dxa" w:w="4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tsl-auth передаёт в токене пользователя и роли. Ядро хранит области рядом с оргструктурой и применяет их при выборке данных</w:t>
            </w:r>
          </w:p>
        </w:tc>
        <w:tc>
          <w:tcPr>
            <w:tcW w:type="dxa" w:w="4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Области меняются сразу, токен небольшой. Иерархия ЦФО и история назначений — в одном месте. tsl-auth не меняется</w:t>
            </w:r>
          </w:p>
        </w:tc>
      </w:tr>
      <w:t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Б. В tsl-auth</w:t>
            </w:r>
          </w:p>
        </w:tc>
        <w:tc>
          <w:tcPr>
            <w:tcW w:type="dxa" w:w="4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Назначение роли получает атрибут «область» (список организаций, ЦФО). Области передаются в токене</w:t>
            </w:r>
          </w:p>
        </w:tc>
        <w:tc>
          <w:tcPr>
            <w:tcW w:type="dxa" w:w="4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Одна админка для ролей и областей. Токен растёт с числом областей; изменение применяется со следующего refresh. tsl-auth должен знать справочник оргструктуры</w:t>
            </w:r>
          </w:p>
        </w:tc>
      </w:tr>
    </w:tbl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Предложение исполнителя: вариант А. Оргструктура и ЦФО — мастер-данные ERP (03.02), дублировать их в tsl-auth не нужно.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 какой вариант принимается; если Б — откуда tsl-auth получает справочник организаций и ЦФО.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В-2. Делегирование и замещение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Общее ТЗ требует управляемого делегирования и замещения (03.01, 04.09). В tsl-auth запланировано замещение: пользователь получает роли другого на период, в токене передаётся, кого он замещает (Ф-11).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Кто назначает замещение: администратор доступа, руководитель, сам сотрудник на время отпуска?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Максимальный срок замещения.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Какие роли не передаются никогда (например, согласование платежей, администрирование).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Нужна ли частичная передача — одной роли из нескольких — или только всех ролей сразу.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Видит ли замещающий историю задач и документов замещаемого до начала замещения (это правило ядра ERP и Flowable, но влияет на состав данных в токене).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В-3. Источник кадровых событий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увольнении или смене должности доступ прекращается (03.01, 04.09). В tsl-auth есть Admin API для отключения учётной записи и снятия ролей; не определено, кто и когда его вызывает.</w:t>
      </w:r>
    </w:p>
    <w:p>
      <w:pPr>
        <w:keepNext/>
        <w:spacing w:after="8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3. В-3. Источник кадровых событий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6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работает</w:t>
            </w:r>
          </w:p>
        </w:tc>
      </w:tr>
      <w:t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А. Событие 1С:ЗУП через ERP</w:t>
            </w:r>
          </w:p>
        </w:tc>
        <w:tc>
          <w:tcPr>
            <w:tcW w:type="dxa" w:w="6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Обмен с 1С:ЗУП приносит увольнение или перевод; ядро ERP вызывает Admin API tsl-auth</w:t>
            </w:r>
          </w:p>
        </w:tc>
      </w:tr>
      <w:t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Б. Вручную</w:t>
            </w:r>
          </w:p>
        </w:tc>
        <w:tc>
          <w:tcPr>
            <w:tcW w:type="dxa" w:w="6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Кадровая служба сообщает администратору доступа; тот отключает учётную запись</w:t>
            </w:r>
          </w:p>
        </w:tc>
      </w:tr>
      <w:tr>
        <w:tc>
          <w:tcPr>
            <w:tcW w:type="dxa" w:w="2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В. А с ежедневной сверкой</w:t>
            </w:r>
          </w:p>
        </w:tc>
        <w:tc>
          <w:tcPr>
            <w:tcW w:type="dxa" w:w="6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А, плюс ежедневный отчёт: активные учётные записи уволенных сотрудников</w:t>
            </w:r>
          </w:p>
        </w:tc>
      </w:tr>
    </w:tbl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Кадровые данные 1С:ЗУП поступают ежедневно или еженедельно (04.06), поэтому при варианте А задержка отключения — до недели.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Какой вариант принимается.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Допустимая задержка отключения после увольнения: в течение дня, в день обмена, до недели.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Что делать с учётной записью уволенного: отключать или удалять, через какой срок удалять.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Какой ключ связывает сотрудника 1С:ЗУП и учётную запись (табельный номер, ФИО + дата рождения, email). Стабильный идентификатор в 1С не подтверждён.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В-4. Срок развёртывания OpenBao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Общее ТЗ требует хранить секреты в защищённом хранилище (04.09). На MVP секреты задаются переменными окружения и файлом настроек с правами 0600; tsl-auth уже умеет читать их из OpenBao без изменения ключей.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Разворачивается ли OpenBao к пилоту первой очереди или позже.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Если позже — принимается ли на это время хранение секретов в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и файле настроек с ограничением прав и контролем секретов в репозитории.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Кто администрирует OpenBao и хранит ключи распечатывания.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В-5. Сроки хранения журнала безопасности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tsl-auth хранит журнал отдельно по типам событий; сроки задаются в настройках. Общее ТЗ требует срока, достаточного для внутренней проверки (04.15), но цифр не задаёт.</w:t>
      </w:r>
    </w:p>
    <w:p>
      <w:pPr>
        <w:keepNext/>
        <w:spacing w:after="8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4. В-5. Сроки хранения журнала безопасности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5"/>
        <w:gridCol w:w="1143"/>
      </w:tblGrid>
      <w:tr>
        <w:trPr>
          <w:tblHeader/>
        </w:trPr>
        <w:tc>
          <w:tcPr>
            <w:tcW w:type="dxa" w:w="84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событий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Предложение исполнителя</w:t>
            </w:r>
          </w:p>
        </w:tc>
      </w:tr>
      <w:tr>
        <w:tc>
          <w:tcPr>
            <w:tcW w:type="dxa" w:w="84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Входы и выходы, в том числе неудачные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год</w:t>
            </w:r>
          </w:p>
        </w:tc>
      </w:tr>
      <w:tr>
        <w:tc>
          <w:tcPr>
            <w:tcW w:type="dxa" w:w="84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Изменения учётных записей, ролей, матриц, приложений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лет</w:t>
            </w:r>
          </w:p>
        </w:tc>
      </w:tr>
      <w:tr>
        <w:tc>
          <w:tcPr>
            <w:tcW w:type="dxa" w:w="84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Действия администраторов и аварийный доступ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лет</w:t>
            </w:r>
          </w:p>
        </w:tc>
      </w:tr>
      <w:tr>
        <w:tc>
          <w:tcPr>
            <w:tcW w:type="dxa" w:w="84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Просмотр и выгрузка журнала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лет</w:t>
            </w:r>
          </w:p>
        </w:tc>
      </w:tr>
      <w:tr>
        <w:tc>
          <w:tcPr>
            <w:tcW w:type="dxa" w:w="84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Технические события (вебхуки, фоновые задачи)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 дней</w:t>
            </w:r>
          </w:p>
        </w:tc>
      </w:tr>
    </w:tbl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Подтвердить или изменить сроки.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Кто получает роль аудитора и может ли аудитор выгружать журнал.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Нужна ли передача журнала во внешнюю систему (SIEM) и в каком формате.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В-6. Резервное копирование и мастер-ключ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Режим копирования задан общим ТЗ (04.08). Без мастер-ключа зашифрованные поля (логины, email, имена) не восстанавливаются, а вместе с копией БД мастер-ключ раскрывает персональные данные. Поэтому ключ и копии хранятся раздельно.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Чем копируется PostgreSQL на площадке заказчика и кто отвечает за копии (связано с A15, A21 архитектурного ЧТЗ).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Где хранится копия мастер-ключа: сейф, отдельное хранилище, OpenBao; кто имеет к ней доступ.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Кто проводит ежеквартальную проверку восстановления и подписывает протокол.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В-7. Критические операции с повторным подтверждением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Общее ТЗ требует многофакторной аутентификации для административных ролей и критических операций (04.09). tsl-auth передаст в токене способ и время подтверждения; ERP запросит повторный вход для критической операции.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 перечень критических операций. Для обсуждения предлагаются: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утверждение и отправка платежа;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утверждение бюджета и его версии;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изменение ролей и областей доступа;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выгрузка персональных данных и данных ФОТ;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ручная корректировка управленческих данных.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Также нужно ответить: как долго действует подтверждение — на одну операцию или на 15 минут.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В-8. Несовместимые роли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tsl-auth заблокирует назначение второй роли из пары несовместимых (Ф-10). Общее ТЗ называет разделение инициатора, согласующего, исполнителя платежа, владельца данных и администратора (04.09), но перечень пар не задан.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 перечень пар несовместимых ролей и порядок исключения — кто может разрешить совмещение в порядке исключения и фиксируется ли основание.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В-9. Способ второго фактора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Сеть закрытая, поэтому SMS и push-уведомления через внешние сервисы недоступны.</w:t>
      </w:r>
    </w:p>
    <w:p>
      <w:pPr>
        <w:keepNext/>
        <w:spacing w:after="8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5. В-9. Способ второго фактора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5397"/>
      </w:tblGrid>
      <w:tr>
        <w:trPr>
          <w:tblHeader/>
        </w:trPr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Способ</w:t>
            </w:r>
          </w:p>
        </w:tc>
        <w:tc>
          <w:tcPr>
            <w:tcW w:type="dxa" w:w="5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Требования</w:t>
            </w:r>
          </w:p>
        </w:tc>
      </w:tr>
      <w:tr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TOTP (приложение-аутентификатор на телефоне)</w:t>
            </w:r>
          </w:p>
        </w:tc>
        <w:tc>
          <w:tcPr>
            <w:tcW w:type="dxa" w:w="5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Приложение работает без сети; нужен телефон у сотрудника</w:t>
            </w:r>
          </w:p>
        </w:tc>
      </w:tr>
      <w:tr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Аппаратный ключ (FIDO2 / WebAuthn)</w:t>
            </w:r>
          </w:p>
        </w:tc>
        <w:tc>
          <w:tcPr>
            <w:tcW w:type="dxa" w:w="5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Закупка ключей; работает без телефона</w:t>
            </w:r>
          </w:p>
        </w:tc>
      </w:tr>
      <w:tr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Код в корпоративный мессенджер через бота</w:t>
            </w:r>
          </w:p>
        </w:tc>
        <w:tc>
          <w:tcPr>
            <w:tcW w:type="dxa" w:w="5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Бот в контуре; зависит от доступности мессенджера</w:t>
            </w:r>
          </w:p>
        </w:tc>
      </w:tr>
    </w:tbl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Предложение исполнителя: TOTP в первой очереди, аппаратные ключи — для администраторов по отдельному решению.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 какой способ принимается; разрешено ли сотрудникам использовать личные телефоны; порядок восстановления при потере второго фактора.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В-10. Пересмотр прав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tsl-auth сформирует отчёт для пересмотра прав: роли, дата и автор назначения, последний вход (Ф-12).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ответить: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Частота пересмотра: ежеквартально или раз в полгода.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Кто пересматривает: руководитель подразделения, владелец данных, служба безопасности.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Через сколько дней без входа учётная запись отключается автоматически (предложение исполнителя — 90 дней), и распространяется ли правило на технические клиенты.</w:t>
      </w:r>
    </w:p>
    <w:p>
      <w:pPr>
        <w:pStyle w:val="Heading1"/>
        <w:keepNext/>
        <w:pageBreakBefore/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Использованные материалы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Статьи базы знаний: UKA-A-91 (03.01), UKA-A-92 (03.02), UKA-A-125 (04.06), UKA-A-127 (04.08), UKA-A-128 (04.09), UKA-A-98 (04.15), UKA-A-311 (04.02.01, вопросы A02, A15, A21).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16"/>
        <w:szCs w:val="16"/>
      </w:rPr>
      <w:t xml:space="preserve">Вопросы к ЧТЗ tsl-auth, версия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6" w:hanging="28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tsl-auth</dc:title>
  <dc:creator>TSL</dc:creator>
  <dc:description>Техническое задание на TSL Auth</dc:description>
  <cp:lastModifiedBy>Un-named</cp:lastModifiedBy>
  <cp:revision>1</cp:revision>
  <dcterms:created xsi:type="dcterms:W3CDTF">2026-09-28T17:32:29.755Z</dcterms:created>
  <dcterms:modified xsi:type="dcterms:W3CDTF">2026-09-28T17:32:29.756Z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