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ТЕХНИЧЕСКОЕ ЗАДАНИЕ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04.09.01. ЧТЗ.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2.1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Версия для согласования в Word: TZ-tsl-auth.docx.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У каждого требования указан статус: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Реализовано в текущей версии и проверяется автотестами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tsl-auth до пилота первой очереди ERP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Выполняется операционным ядром ERP; tsl-auth передаёт нужные данные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Исключено решением заказчика (раздел 18)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5133975"/>
            <wp:effectExtent t="0" r="0" b="0" l="0"/>
            <wp:docPr id="1" name="auth-architecture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1. Базовая архитектура ТСЛ: Авторизатор реализован сервисом TSL Auth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Назначение и границы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Место в архитектуре ERP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Исходный код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https://github.com/akprof2000/tsl-auth, лицензия MIT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Поставка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Docker-образ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akprof2000/tsl-auth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(Docker Hub, GHCR), подписанный cosign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Технологии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.NET 10, ASP.NET Core, OpenIddict 7, ASP.NET Core Identity, EF Core; SQLite или PostgreSQL 14+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Первая: вход пользователей ERP, технические клиенты Flowable, обработчиков обмена, DWH и импорта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решение. Граница ответственности: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Входит в 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входит в tsl-auth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Учётные записи, пароли, блокировка, двухфакторный вход, выход, сессии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Организационная и финансовая иерархия (ядро ERP)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и разрешения на уровне операций приложения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Токены для пользователей и технических клиентов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 в формах и отчётах ERP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входов, учётных записей и назначений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бизнес-действий с документами ERP (04.15, ядро ERP)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 (В-1): области доступа хранятся в отдельной базе ядра ERP рядом с оргструктурой; tsl-auth их не хранит и в токене не передаёт.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d01.png" descr="2. Пользователи и роли" title="2. Пользователи и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2. 2. Пользователи и роли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2. Пользователи и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3988"/>
        <w:gridCol w:w="3988"/>
      </w:tblGrid>
      <w:tr>
        <w:trPr>
          <w:tblHeader/>
        </w:trP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Действия в tsl-auth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 ERP (03.01)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ERP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Входит, меняет и сбрасывает пароль, запрашивает 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доступа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Регистрирует приложения, ведёт матрицы, назначает роли, одобряет заявки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Просматривает админку и журнал без права изменения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Офицер безопасности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бота блокирует учётные записи и требует смену пароля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 (безопасность)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клиент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Получает токен по client credentials с минимальными полномочиями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обмена, DWH, импорт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Права администрирования самого сервиса задаются матрицей системного приложения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administrator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auditor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notifier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reset-bot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981450"/>
            <wp:effectExtent t="0" r="0" b="0" l="0"/>
            <wp:docPr id="1" name="tsl-auth-application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3. TSL Auth: прикладной уровень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Основные сценарии: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Вход пользователя в приложение ERP по authorization code + PKCE.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Вызов API сервиса другим сервисом: client credentials; вызов от имени пользователя — token exchange.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Создание учётной записи администратором: с паролем, временным паролем или приглашением.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Саморегистрация с заявкой на роль; заявку одобряет администратор, приложение или 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Сброс пароля по email или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Блокировка учётной записи офицером безопасности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Прекращение доступа при увольнении или смене роли.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Двухфакторный вход: пароль → код с почты или из мессенджера (для ролей с флагом 2FA).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Автоматическое отключение учётной записи без входа 90 дней (кроме администраторов сервиса).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d03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4.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914650"/>
            <wp:effectExtent t="0" r="0" b="0" l="0"/>
            <wp:docPr id="1" name="d04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5.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d07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6. 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 сообщает об отказе), повреждённая схема БД (самовосстановление, раздел 15).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Объекты и справочники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5962650"/>
            <wp:effectExtent t="0" r="0" b="0" l="0"/>
            <wp:docPr id="1" name="d05.png" descr="4. Объекты и справочники" title="4. Объекты и справоч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7. 4. Объекты и справочники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4. Объекты и 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2008"/>
        <w:gridCol w:w="4819"/>
      </w:tblGrid>
      <w:tr>
        <w:trPr>
          <w:tblHeader/>
        </w:trP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Мастер-система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Место первичного ввода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пользователя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саморегистрация; после В-3 — кадровое событие 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Сотрудник, должность, подразделение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 через ERP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(клиент OIDC)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Роль, разрешение, матрица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App API приложения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одобрение заявки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Область доступа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(отдельная база)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ERP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Статусы и переходы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81350"/>
            <wp:effectExtent t="0" r="0" b="0" l="0"/>
            <wp:docPr id="1" name="d06.png" descr="5. Статусы и переходы" title="5. Статусы и перехо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8. 5. Статусы и переходы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Отключение учётной записи сразу отзывает все её сессии и refresh-токены на всех узлах.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6.1. Протоколы и токены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6. 6.1. Протоколы и 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Access-токен — JWT RS256. Claims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&lt;client_id&gt;:&lt;разрешение&gt;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resource_access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совместимы с Keycloak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6.2. Роли и полномочия (03.01, 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7. 6.2. Роли и полномочия (03.01, 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"/>
        <w:gridCol w:w="5669"/>
        <w:gridCol w:w="3591"/>
      </w:tblGrid>
      <w:tr>
        <w:trPr>
          <w:tblHeader/>
        </w:trP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Ф-8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 не проверяются: доступ задаётся матрицей «роль × разрешение» приложения, пары несовместимых ролей заказчиком не определены (решение В-8)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только администратор доступа: пользователь получает роли другого пользователя на указанный период. В токене замещающего передаётся claim с идентификатором замещаемого. По окончании периода роли снимаются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без входа дольше 90 дней отключается автоматически при плановом обслуживании БД (раз в час); срок и включение меняются в настройках («Неактивные учётные записи»). Для никогда не входивших отсчёт идёт от даты создания. Пользователи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administrator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сервиса автоматически не отключаются — только вручную. Отключение отзывает сессии, пишется в журнал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user.disabled_inactive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уходит в ленту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security.alert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Отчёт для пересмотра прав с выгрузкой в CSV — 1-я очередь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(отключение); 1-я очередь (отчёт)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6.3. Учётные записи и аутентификация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8. 6.3. Учётные записи и аутентификация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Саморегистрация в приложении с заявкой на роли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назначается ролям: администратор ставит у роли флаг «требовать 2FA» в матрице приложения или через Admin API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PUT /api/admin/applications/{client}/roles/{role}/two-factor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приложение через App API флаг не меняет. Если у пользователя есть хотя бы одна такая роль, после пароля открывается страница кода. Каналы: код на email (кнопка «Отправить код») и код в мессенджере (пользователь пишет боту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бот получает код по Bot API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/api/bot/2fa-code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Коды одноразовые, по времени (TOTP по security stamp), не хранятся и действуют несколько минут; неверные коды считаются в блокировку. Нет ни email, ни мессенджера — вход не выполняется, пользователь видит причину. Password grant для таких пользователей закрыт. Сессия, полученная без кода, после назначения роли не продлевается. В токенах передаётся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mfa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TOTP-приложения и аппаратные ключи — задел на будущее; повторное подтверждение критических операций — на стороне прикладной системы (решения В-7, В-9)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работает как отзыв refresh-токена: отключение учётной записи или снятие роли применяется при следующем refresh, не позднее срока жизни access-токена (15 мин). Отключение вызывает администратор или ERP через Admin API (решение В-3)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6.4. Приложения и API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9. 6.4. Приложения и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Ф-20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Регистрация клиентов: тип (public / confidential), grant types, scopes, redirect URI, CORS для SPA по redirect URI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security-officer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отправителя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Интерфейсы описаны в OpenAPI; справочник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/docs/api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руководство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работают без интернета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6.5. Администрирование и локализация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10. 6.5. Администрирование и локализация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 на русском и английском; языковые пакеты загружаются через админку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Проверки и ограничения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отклоняет запрос без PKCE S256 для public-клиента.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не выдаёт токен отключённой, заблокированной или ожидающей роли учётной записи.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Клиент не получает scope и разрешения сверх назначенных ему ролей; token exchange не расширяет права пользователя.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Приложение через App API не видит и не меняет данные другого приложения.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Бот не выполняет действие над чужой учётной записью без роли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 у привязанного отправителя.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Rate limiting ограничивает вход, </w:t>
      </w:r>
      <w:r>
        <w:rPr>
          <w:rFonts w:ascii="Consolas" w:cs="Consolas" w:eastAsia="Consolas" w:hAnsi="Consolas"/>
          <w:sz w:val="20"/>
          <w:szCs w:val="20"/>
        </w:rPr>
        <w:t xml:space="preserve">/connect/token</w:t>
      </w:r>
      <w:r>
        <w:rPr>
          <w:rFonts w:ascii="Arial" w:cs="Arial" w:eastAsia="Arial" w:hAnsi="Arial"/>
          <w:sz w:val="22"/>
          <w:szCs w:val="22"/>
        </w:rPr>
        <w:t xml:space="preserve">, introspect и revoke.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Интеграции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11. 8. Интеграции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3637"/>
        <w:gridCol w:w="2546"/>
      </w:tblGrid>
      <w:tr>
        <w:trPr>
          <w:tblHeader/>
        </w:trP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Потребитель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Идентификация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ERP (React)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authorization code + PKCE, refresh с ротацией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public-клиент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Операционное ядро ERP (FastAPI)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JWT по JWKS: подпись RS256,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 по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resource server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RabbitMQ, Airflow/DWH, импорт из 1С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credentials; вызов от имени пользователя — token exchange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confidential-клиенты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(кадровые события, отчёт пересмотра прав)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API, лента событий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admin-cli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Боты мессенджеров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security-bot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 и Python и демо «Документооборот»: PWA, App API и бот. Пример для Python/FastAPI входит в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Права доступа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Минимальные полномочия: технический клиент получает только разрешения, нужные его операциям.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Административные интерфейсы tsl-auth (админка, Admin API) доступны только ролям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; аудитор имеет права только на просмотр.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Доступ к журналу безопасности выдаётся отдельной ролью и сам журналируется (1-я очередь).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Аудит и журналирование (04.15)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12. 10. Аудит и журналирование (04.15)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А-2а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изменяется и не удаляется через интерфейсы сервиса; удаление выполняется только по сроку хранения, отдельно для каждого типа событий. Сроки по умолчанию: входы, выходы и второй фактор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1 год; блокировки, изменения учётных записей, паролей, ролей, настроек, действия администраторов и отказы в доступе — 5 лет; технические события токенов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token.*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90 дней. Сроки меняются в настройках (решение В-5)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А-5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содержит паролей, токенов и секретов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 сами пишутся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Сроки хранения по умолчанию заданы решением В-5 и меняются в настройках.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Нефункциональные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11.1. Архитектура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752850" cy="6667500"/>
            <wp:effectExtent t="0" r="0" b="0" l="0"/>
            <wp:docPr id="1" name="d02.png" descr="11.1. Архитектура" title="11.1.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9. 11.1. Архитектура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11.2. Производительность (04.05)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Для расчёта принимается верхняя граница первой очереди — 220 активных пользователей ERP одновременно.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13. 11.2. Производительность (04.05)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6"/>
        <w:gridCol w:w="2436"/>
        <w:gridCol w:w="2436"/>
      </w:tblGrid>
      <w:tr>
        <w:trPr>
          <w:tblHeader/>
        </w:trP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Одиночный режим (SQLite)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Кластер (3 узла + PostgreSQL)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Пропускная способность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400 запросов/с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600 запросов/с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client_credentials,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2,5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 по паролю (PBKDF2 100 000 итераций),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700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Ошибки под нагрузкой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cs="Consolas" w:eastAsia="Consolas" w:hAnsi="Consolas"/>
          <w:sz w:val="20"/>
          <w:szCs w:val="20"/>
        </w:rPr>
        <w:t xml:space="preserve">tests/load</w:t>
      </w:r>
      <w:r>
        <w:rPr>
          <w:rFonts w:ascii="Arial" w:cs="Arial" w:eastAsia="Arial" w:hAnsi="Arial"/>
          <w:sz w:val="22"/>
          <w:szCs w:val="22"/>
        </w:rPr>
        <w:t xml:space="preserve">). В первой очереди профиль нагрузки дополняется сценарием 220 пользователей.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11.3. Доступность, RPO и RTO (04.07)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14. 11.3. Доступность, RPO и RTO (04.07)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7414"/>
        <w:gridCol w:w="1730"/>
      </w:tblGrid>
      <w:tr>
        <w:trPr>
          <w:tblHeader/>
        </w:trP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(кластер)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Н-2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kill -9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узла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Н-3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Н-4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Сессии и ключи подписи переживают перезапуск узлов и сервиса целиком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Н-5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 недоступности PostgreSQL узлы остаются живыми и восстанавливаются без рестарта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Н-6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RPO не более 15 минут, RTO не более 4 часов — за счёт резервного копирования PostgreSQL на площадке заказчика (11.4)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11.4. Резервное копирование и восстановление (04.08)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15. 11.4. Резервное копирование и восстановление (04.08)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месяцев. Мастер-ключ в промышленной среде хранится в OpenBao отдельно от копий БД (решение В-6)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пересборкой схемы сервис сам делает резервную копию БД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11.5. Обновление схемы и самовосстановление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16. 11.5. Обновление схемы и самовосстановление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Запуск на схеме новее версии сервиса запрещён, пока это не разрешено явно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3629025" cy="6667500"/>
            <wp:effectExtent t="0" r="0" b="0" l="0"/>
            <wp:docPr id="1" name="d08.png" descr="11.5. Обновление схемы и самовосстановление" title="11.5. Обновление схемы и самовосстанов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10. 11.5. Обновление схемы и самовосстановление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11.6. Информационная безопасность (04.09)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17. 11.6. Информационная безопасность (04.09)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7229"/>
        <w:gridCol w:w="1927"/>
      </w:tblGrid>
      <w:tr>
        <w:trPr>
          <w:tblHeader/>
        </w:trP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Б-2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Б-4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Защищённое хранилище секретов: OpenBao KV v2 по AppRole под теми же ключами настроек, без изменения кода. На MVP 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настроек; в промышленной среде — OpenBao (решения В-4, В-6)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(поддержка)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Б-6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Каналы шифруются: HTTPS в контейнере или на обратном прокси, TLS к PostgreSQL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Б-7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Rate limiting на вход,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/connect/token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introspect и revoke. Строгий CSP, antiforgery, SameSite cookie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Б-8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Auth__Issuer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Заголовки прокси принимаются только из доверенных сетей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Б-9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cap_drop: 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Б-10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Анализ угроз сервиса оформлен в security.md и обновляется при существенном изменении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11.7. Мониторинг и эксплуатация (04.10)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отдаёт </w:t>
      </w:r>
      <w:r>
        <w:rPr>
          <w:rFonts w:ascii="Consolas" w:cs="Consolas" w:eastAsia="Consolas" w:hAnsi="Consolas"/>
          <w:sz w:val="20"/>
          <w:szCs w:val="20"/>
        </w:rPr>
        <w:t xml:space="preserve">/health/live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, метрики Prometheus, трассировки и журналы по OTLP, журналы в Loki.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11.8. Среды (04.11)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cs="Consolas" w:eastAsia="Consolas" w:hAnsi="Consolas"/>
          <w:sz w:val="20"/>
          <w:szCs w:val="20"/>
        </w:rPr>
        <w:t xml:space="preserve">Auth__Issuer</w:t>
      </w:r>
      <w:r>
        <w:rPr>
          <w:rFonts w:ascii="Arial" w:cs="Arial" w:eastAsia="Arial" w:hAnsi="Arial"/>
          <w:sz w:val="22"/>
          <w:szCs w:val="22"/>
        </w:rPr>
        <w:t xml:space="preserve"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Развёртывание и выпуск (04.12)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438650"/>
            <wp:effectExtent t="0" r="0" b="0" l="0"/>
            <wp:docPr id="1" name="d09.png" descr="12. Развёртывание и выпуск (04.12)" title="12. Развёртывание и выпуск (04.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11. 12. Развёртывание и выпуск (04.12)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18. 12. Развёртывание и выпуск (04.12)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Одиночный режим и кластер запускаются одной командой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load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scripts/export-images.*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(переменные контейнеров) или в файле настроек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deploy/appsettings.mvp.example.json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необязательно — файлы docker secrets или OpenBao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— идентифицируемый артефакт: тег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vX.Y.Z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3181350"/>
            <wp:effectExtent t="0" r="0" b="0" l="0"/>
            <wp:docPr id="1" name="tsl-auth-deployment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12. TSL Auth: развёртывание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Миграция данных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cs="Consolas" w:eastAsia="Consolas" w:hAnsi="Consolas"/>
          <w:sz w:val="20"/>
          <w:szCs w:val="20"/>
        </w:rPr>
        <w:t xml:space="preserve">migrate-to-postgres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Тестовые сценарии и критерии приёмки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19. 14. Тестовые сценарии и критерии приёмки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Вид испытаний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tests/TslAuth.UnitTests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Интеграционные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+ WebApplicationFactory на SQLite и PostgreSQL в контейнере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проходят, включая обновление схемы и самовосстановление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Сценарии входа, регистрации, админки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Нагрузочные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k6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Показатели 11.2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Отказоустойчивость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ошибок при rolling update и отказе узла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TwoFactorScenarios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(SQLite и PostgreSQL),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SettingsTests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роли: страница кода, неверный код отклонён, код с почты и из мессенджера принят,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токенах и после refresh; password grant закрыт; без каналов вход не выполняется; неактивные отключены, администратор — нет; сроки журнала по умолчанию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переменных и файле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tests/resilience/run-env-secrets.ps1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с секретами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файла настроек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Trivy, Dockle, gitleaks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уязвимостей, CIS пройден, 0 секретов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Документация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scripts/validate-docs.ps1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проблем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по К-3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Протокол с фактическим RTO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Этапы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20. 15. Этапы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5404"/>
        <w:gridCol w:w="1081"/>
      </w:tblGrid>
      <w:tr>
        <w:trPr>
          <w:tblHeader/>
        </w:trP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Ядро: протоколы, роли, пользователи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 админкой и Admin API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 безопасность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PostgreSQL, шифрование, защищённый образ, нагрузочные тесты и тесты отказов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самообслуживания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 API, Bot API, лента событий, саморегистрация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Надёжность данных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Обновление схемы, перенос SQLite → PostgreSQL, самовосстановление БД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Наблюдаемость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Prometheus, OpenTelemetry, Loki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 по вопросам ЧТЗ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ролям (Ф-18), отключение неактивных учётных записей (Ф-12), сроки хранения журнала по умолчанию (А-4)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для первой очереди ERP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Ф-11, отчёт Ф-12, А-2а, А-3, А-7, Н-6, К-1, К-3, пример FastAPI, профиль нагрузки 220 пользователей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запланирован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Обучение и инструкции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21. 16. Обучение и инструкции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6"/>
        <w:gridCol w:w="5462"/>
      </w:tblGrid>
      <w:tr>
        <w:trPr>
          <w:tblHeader/>
        </w:trP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Документ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Обзор и быстрый старт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README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Архитектура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architecture.md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deployment.md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Интеграция приложений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integration.md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Руководство администратора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administration.md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Тестирование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Регламент эксплуатации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operations.md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ArchiMate-модель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archimate/auth-architecture.drawio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Соответствие общему ТЗ ERP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22. 17. Соответствие общему ТЗ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1006"/>
        <w:gridCol w:w="3603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общего ТЗ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Где выполняется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Единая учётная запись, единая идентификация и аутентификация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OIDC для пользователей и технических клиентов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Ф-21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Матрица прав на уровне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Совмещение ролей и блокировка несовместимых полномочий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Ф-7; несовместимые роли не определены (В-8)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проектам, объектам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(В-1)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 действия прав, делегирование, замещение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смене роли или увольнении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Ф-14, Ф-19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Периодическая проверка актуальности прав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технического администрирования и бизнес-данных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Ф-13, раздел 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защищённом хранилище, контроль секретов в коде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Б-3–Б-5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Шифрование данных и каналов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Б-1, Б-6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входов, учётных записей, назначений; защита журнала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04.15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А-1–А-7, А-2а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99,5 %, RPO 15 мин, RTO 4 ч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04.07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Н-1–Н-6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проверка восстановления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04.08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К-1–К-3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Мониторинг, метрики, трассировка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04.10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сред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04.11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и откат не более 30 минут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Р-4, Р-5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Передача исходного кода, тестов, документации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04.14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разделы 14, 16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18. Принятые решения по вопросам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Ответы заказчика на вопросы для ЧТЗ.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23. 18. Принятые решения по вопросам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4081"/>
        <w:gridCol w:w="5210"/>
      </w:tblGrid>
      <w:tr>
        <w:trPr>
          <w:tblHeader/>
        </w:trP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отдельной базе ядра ERP рядом с оргструктурой. tsl-auth их не хранит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Делегирование и замещение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администратор доступа (Ф-11)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увольнении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отзыв refresh-токена: применяется при следующем refresh, не позднее 15 минут (Ф-19)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MVP секреты хранятся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умолчанию: входы — 1 год, изменения и действия администраторов — 5 лет, технические события — 90 дней (А-4,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мастер-ключ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промышленной среде мастер-ключ и секреты — в OpenBao, отдельно от копий БД (К-1)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Критические операции с повторным подтверждением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относится к tsl-auth: определяется прикладной системой, например документооборотом. tsl-auth передаёт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В-8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требуются: доступ задаётся матрицей «роль × разрешение» (Ф-10)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В-9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Способ второго фактора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Код на email и в мессенджер через бота; какие роли требуют второй фактор, задаёт администратор флагом роли. TOTP и аппаратные ключи — задел на будущее (Ф-18,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В-10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Отключение неактивных учётных записей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Автоматически после 90 дней без входа, кроме администраторов сервиса — их отключают только вручную (Ф-12, реализовано)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Остаются открытыми: частота пересмотра прав и ответственные за него; срок, после которого отключённая учётная запись удаляется.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ТЗ tsl-auth, версия 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74b61c5416e2bb1b1d096614a1f8f150e7035.png"/><Relationship Id="rId10" Type="http://schemas.openxmlformats.org/officeDocument/2006/relationships/image" Target="media/84d547cec65a96fa4bf2c270a332aec081558198.png"/><Relationship Id="rId11" Type="http://schemas.openxmlformats.org/officeDocument/2006/relationships/image" Target="media/87794cecdc2163edd1c838319ae8933763a21a43.png"/><Relationship Id="rId12" Type="http://schemas.openxmlformats.org/officeDocument/2006/relationships/image" Target="media/f7734e957200547fb9a2cedb2c08a3f709df60e9.png"/><Relationship Id="rId13" Type="http://schemas.openxmlformats.org/officeDocument/2006/relationships/image" Target="media/09a486499da75c6ec60a978e372632fbbfefac27.png"/><Relationship Id="rId14" Type="http://schemas.openxmlformats.org/officeDocument/2006/relationships/image" Target="media/89b542bda1c3edee389421700bca4f21d30035e1.png"/><Relationship Id="rId15" Type="http://schemas.openxmlformats.org/officeDocument/2006/relationships/image" Target="media/c6eea5bdbf9215664c8b35af731c4457670bf9ba.png"/><Relationship Id="rId16" Type="http://schemas.openxmlformats.org/officeDocument/2006/relationships/image" Target="media/9308c108f0423ab96adb915348f9205510ee52d3.png"/><Relationship Id="rId17" Type="http://schemas.openxmlformats.org/officeDocument/2006/relationships/image" Target="media/e5c421398f78e4938a10fd05e5d22ed0a535b6a9.png"/><Relationship Id="rId18" Type="http://schemas.openxmlformats.org/officeDocument/2006/relationships/image" Target="media/b8018ad98bfed872eb62a63c5d5e62e652ef6165.png"/><Relationship Id="rId19" Type="http://schemas.openxmlformats.org/officeDocument/2006/relationships/image" Target="media/895c418b04f272cd28e802774c727aba81e53170.png"/><Relationship Id="rId20" Type="http://schemas.openxmlformats.org/officeDocument/2006/relationships/image" Target="media/4ea7ea7df6fa19dececc2f5838bbeb4646b0a2b5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2026-09-28T17:32:29.406Z</dcterms:created>
  <dcterms:modified xsi:type="dcterms:W3CDTF">2026-09-28T17:32:29.407Z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