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ВОПРОСЫ ДЛЯ СОГЛАСОВАНИЯ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Вопросы для ЧТЗ 04.09.01.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1.0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Вопросы из раздела 18 ЧТЗ. По каждому указано, что уже есть, какие варианты рассматриваются, что зависит от ответа и кто решает. Предложение исполнителя — не решение: до ответа требование остаётся в статусе «вопрос». Порядок — по влиянию на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Сводка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Сводка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"/>
        <w:gridCol w:w="3829"/>
        <w:gridCol w:w="2905"/>
        <w:gridCol w:w="2640"/>
      </w:tblGrid>
      <w:tr>
        <w:trPr>
          <w:tblHeader/>
        </w:trP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решает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блокирует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Архитектор ERP, ответственный за авторизацию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Модель прав ядра ERP, состав токена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Источник кадровых событий и допустимая задержка отключения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ИТ заказчика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Ф-19, прекращение доступа при увольнении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Правила делегирования и замещения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Критические операции с повторным подтверждением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 и доступ аудитора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А-4, А-7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Площадка резервного копирования и хранение мастер-ключа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К-1, К-3, Н-6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заказчика, архитектор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Список несовместимых ролей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2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38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неактивности и частота пересмотра прав</w:t>
            </w:r>
          </w:p>
        </w:tc>
        <w:tc>
          <w:tcPr>
            <w:tcW w:type="dxa" w:w="2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В-1. Где хранятся области доступа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Общее ТЗ требует ограничивать доступ по организациям, подразделениям, ЦФО, проектам и объектам (03.01, 04.09). Сейчас tsl-auth хранит роли и разрешения на операции; областей доступа в нём нет.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В-1. Где хранятся области доступа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4348"/>
        <w:gridCol w:w="4348"/>
      </w:tblGrid>
      <w:tr>
        <w:trPr>
          <w:tblHeader/>
        </w:trPr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работает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Последствия</w:t>
            </w:r>
          </w:p>
        </w:tc>
      </w:tr>
      <w:tr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А. В ядре ERP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 передаёт в токене пользователя и роли. Ядро хранит области рядом с оргструктурой и применяет их при выборке данных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меняются сразу, токен небольшой. Иерархия ЦФО и история назначений — в одном месте. tsl-auth не меняется</w:t>
            </w:r>
          </w:p>
        </w:tc>
      </w:tr>
      <w:tr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Б. В tsl-auth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получает атрибут «область» (список организаций, ЦФО). Области передаются в токене</w:t>
            </w:r>
          </w:p>
        </w:tc>
        <w:tc>
          <w:tcPr>
            <w:tcW w:type="dxa" w:w="43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Одна админка для ролей и областей. Токен растёт с числом областей; изменение применяется со следующего refresh. tsl-auth должен знать справочник оргструктуры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Предложение исполнителя: вариант А. Оргструктура и ЦФО — мастер-данные ERP (03.02), дублировать их в tsl-auth не нужно.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 какой вариант принимается; если Б — откуда tsl-auth получает справочник организаций и ЦФО.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В-2. Делегирование и замещение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Общее ТЗ требует управляемого делегирования и замещения (03.01, 04.09). В tsl-auth запланировано замещение: пользователь получает роли другого на период, в токене передаётся, кого он замещает (Ф-11).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Кто назначает замещение: администратор доступа, руководитель, сам сотрудник на время отпуска?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Максимальный срок замещения.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Какие роли не передаются никогда (например, согласование платежей, администрирование).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Нужна ли частичная передача — одной роли из нескольких — или только всех ролей сразу.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Видит ли замещающий историю задач и документов замещаемого до начала замещения (это правило ядра ERP и Flowable, но влияет на состав данных в токене).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В-3. Источник кадровых событий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 увольнении или смене должности доступ прекращается (03.01, 04.09). В tsl-auth есть Admin API для отключения учётной записи и снятия ролей; не определено, кто и когда его вызывает.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В-3. Источник кадровых событий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6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работает</w:t>
            </w:r>
          </w:p>
        </w:tc>
      </w:tr>
      <w:t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А. Событие 1С:ЗУП через ERP</w:t>
            </w:r>
          </w:p>
        </w:tc>
        <w:tc>
          <w:tcPr>
            <w:tcW w:type="dxa" w:w="6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Обмен с 1С:ЗУП приносит увольнение или перевод; ядро ERP вызывает Admin API tsl-auth</w:t>
            </w:r>
          </w:p>
        </w:tc>
      </w:tr>
      <w:t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Б. Вручную</w:t>
            </w:r>
          </w:p>
        </w:tc>
        <w:tc>
          <w:tcPr>
            <w:tcW w:type="dxa" w:w="6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Кадровая служба сообщает администратору доступа; тот отключает учётную запись</w:t>
            </w:r>
          </w:p>
        </w:tc>
      </w:tr>
      <w:tr>
        <w:tc>
          <w:tcPr>
            <w:tcW w:type="dxa" w:w="29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В. А с ежедневной сверкой</w:t>
            </w:r>
          </w:p>
        </w:tc>
        <w:tc>
          <w:tcPr>
            <w:tcW w:type="dxa" w:w="6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А, плюс ежедневный отчёт: активные учётные записи уволенных сотрудников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Кадровые данные 1С:ЗУП поступают ежедневно или еженедельно (04.06), поэтому при варианте А задержка отключения — до недели.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Какой вариант принимается.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Допустимая задержка отключения после увольнения: в течение дня, в день обмена, до недели.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Что делать с учётной записью уволенного: отключать или удалять, через какой срок удалять.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Какой ключ связывает сотрудника 1С:ЗУП и учётную запись (табельный номер, ФИО + дата рождения, email). Стабильный идентификатор в 1С не подтверждён.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В-4. Срок развёртывания OpenBao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Общее ТЗ требует хранить секреты в защищённом хранилище (04.09). На MVP секреты задаются переменными окружения и файлом настроек с правами 0600; tsl-auth уже умеет читать их из OpenBao без изменения ключей.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Разворачивается ли OpenBao к пилоту первой очереди или позже.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Если позже — принимается ли на это время хранение секретов в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  <w:sz w:val="22"/>
          <w:szCs w:val="22"/>
        </w:rPr>
        <w:t xml:space="preserve"> и файле настроек с ограничением прав и контролем секретов в репозитории.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Кто администрирует OpenBao и хранит ключи распечатывания.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В-5. Сроки хранения журнала безопасности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tsl-auth хранит журнал отдельно по типам событий; сроки задаются в настройках. Общее ТЗ требует срока, достаточного для внутренней проверки (04.15), но цифр не задаёт.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В-5. Сроки хранения журнала безопасности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95"/>
        <w:gridCol w:w="1143"/>
      </w:tblGrid>
      <w:tr>
        <w:trPr>
          <w:tblHeader/>
        </w:trP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Тип событий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Предложение исполнителя</w:t>
            </w:r>
          </w:p>
        </w:tc>
      </w:tr>
      <w:t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Входы и выходы, в том числе неудачные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год</w:t>
            </w:r>
          </w:p>
        </w:tc>
      </w:tr>
      <w:t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Изменения учётных записей, ролей, матриц, приложений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лет</w:t>
            </w:r>
          </w:p>
        </w:tc>
      </w:tr>
      <w:t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Действия администраторов и аварийный доступ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лет</w:t>
            </w:r>
          </w:p>
        </w:tc>
      </w:tr>
      <w:t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лет</w:t>
            </w:r>
          </w:p>
        </w:tc>
      </w:tr>
      <w:tr>
        <w:tc>
          <w:tcPr>
            <w:tcW w:type="dxa" w:w="8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события (вебхуки, фоновые задачи)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90 дней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Подтвердить или изменить сроки.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Кто получает роль аудитора и может ли аудитор выгружать журнал.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Нужна ли передача журнала во внешнюю систему (SIEM) и в каком формате.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В-6. Резервное копирование и мастер-ключ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Режим копирования задан общим ТЗ (04.08). Без мастер-ключа зашифрованные поля (логины, email, имена) не восстанавливаются, а вместе с копией БД мастер-ключ раскрывает персональные данные. Поэтому ключ и копии хранятся раздельно.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Чем копируется PostgreSQL на площадке заказчика и кто отвечает за копии (связано с A15, A21 архитектурного ЧТЗ).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Где хранится копия мастер-ключа: сейф, отдельное хранилище, OpenBao; кто имеет к ней доступ.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Кто проводит ежеквартальную проверку восстановления и подписывает протокол.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В-7. Критические операции с повторным подтверждением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Общее ТЗ требует многофакторной аутентификации для административных ролей и критических операций (04.09). tsl-auth передаст в токене способ и время подтверждения; ERP запросит повторный вход для критической операции.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 перечень критических операций. Для обсуждения предлагаются: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утверждение и отправка платежа;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утверждение бюджета и его версии;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изменение ролей и областей доступа;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выгрузка персональных данных и данных ФОТ;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ручная корректировка управленческих данных.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Также нужно ответить: как долго действует подтверждение — на одну операцию или на 15 минут.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В-8. Несовместимые роли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tsl-auth заблокирует назначение второй роли из пары несовместимых (Ф-10). Общее ТЗ называет разделение инициатора, согласующего, исполнителя платежа, владельца данных и администратора (04.09), но перечень пар не задан.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 перечень пар несовместимых ролей и порядок исключения — кто может разрешить совмещение в порядке исключения и фиксируется ли основание.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В-9. Способ второго фактора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Сеть закрытая, поэтому SMS и push-уведомления через внешние сервисы недоступны.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В-9. Способ второго фактора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5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Требования</w:t>
            </w:r>
          </w:p>
        </w:tc>
      </w:tr>
      <w:tr>
        <w:tc>
          <w:tcPr>
            <w:tcW w:type="dxa" w:w="42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TOTP (приложение-аутентификатор на телефоне)</w:t>
            </w:r>
          </w:p>
        </w:tc>
        <w:tc>
          <w:tcPr>
            <w:tcW w:type="dxa" w:w="5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работает без сети; нужен телефон у сотрудника</w:t>
            </w:r>
          </w:p>
        </w:tc>
      </w:tr>
      <w:tr>
        <w:tc>
          <w:tcPr>
            <w:tcW w:type="dxa" w:w="42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Аппаратный ключ (FIDO2 / WebAuthn)</w:t>
            </w:r>
          </w:p>
        </w:tc>
        <w:tc>
          <w:tcPr>
            <w:tcW w:type="dxa" w:w="5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Закупка ключей; работает без телефона</w:t>
            </w:r>
          </w:p>
        </w:tc>
      </w:tr>
      <w:tr>
        <w:tc>
          <w:tcPr>
            <w:tcW w:type="dxa" w:w="42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Код в корпоративный мессенджер через бота</w:t>
            </w:r>
          </w:p>
        </w:tc>
        <w:tc>
          <w:tcPr>
            <w:tcW w:type="dxa" w:w="5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 в контуре; зависит от доступности мессенджера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Предложение исполнителя: TOTP в первой очереди, аппаратные ключи — для администраторов по отдельному решению.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 какой способ принимается; разрешено ли сотрудникам использовать личные телефоны; порядок восстановления при потере второго фактора.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В-10. Пересмотр прав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tsl-auth сформирует отчёт для пересмотра прав: роли, дата и автор назначения, последний вход (Ф-12).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Нужно ответить: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Частота пересмотра: ежеквартально или раз в полгода.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Кто пересматривает: руководитель подразделения, владелец данных, служба безопасности.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Через сколько дней без входа учётная запись отключается автоматически (предложение исполнителя — 90 дней), и распространяется ли правило на технические клиенты.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UKA-A-92 (03.02), UKA-A-125 (04.06), UKA-A-127 (04.08), UKA-A-128 (04.09), UKA-A-98 (04.15), UKA-A-311 (04.02.01, вопросы A02, A15, A21).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Вопросы к ЧТЗ tsl-auth, версия 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2026-09-28T16:50:15.954Z</dcterms:created>
  <dcterms:modified xsi:type="dcterms:W3CDTF">2026-09-28T16:50:15.955Z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