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ТЕХНИЧЕСКОЕ ЗАДАНИЕ</w:t>
      </w:r>
    </w:p>
    <w:p>
      <w:pPr>
        <w:spacing w:after="200" w:before="200"/>
        <w:jc w:val="center"/>
      </w:pPr>
      <w:r>
        <w:rPr>
          <w:rFonts w:ascii="Arial" w:cs="Arial" w:eastAsia="Arial" w:hAnsi="Arial"/>
          <w:sz w:val="28"/>
          <w:szCs w:val="28"/>
        </w:rPr>
        <w:t xml:space="preserve">04.09.01. ЧТЗ. Сервис идентификации и доступа TSL Auth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ERP «Уклад»: компонент «Управление идентификацией»</w:t>
      </w:r>
    </w:p>
    <w:p>
      <w:pPr>
        <w:spacing w:before="2400"/>
        <w:jc w:val="center"/>
      </w:pPr>
      <w:r>
        <w:rPr>
          <w:rFonts w:ascii="Arial" w:cs="Arial" w:eastAsia="Arial" w:hAnsi="Arial"/>
          <w:sz w:val="22"/>
          <w:szCs w:val="22"/>
        </w:rPr>
        <w:t xml:space="preserve">Версия 2.0 от 28.09.2026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Статус: проект для согласования</w:t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Структура — по шаблону ЧТЗ базы знаний UKA (07.01).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Чтобы обновить содержание, откройте документ в Word и нажмите F9 на поле содержания.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Документ — частное техническое задание ERP «Уклад» на компонент «Управление идентификацией» (общее ТЗ, разделы 03.01, 04.02, 04.09, 04.15). Структура — по шаблону ЧТЗ (07.01). Документ отвечает на вопрос A02 архитектурного ЧТЗ 04.02.01: проверяет tsl-auth относительно OIDC-профиля общего ТЗ, минимальных полномочий, административного доступа, прекращения прав и восстановления собственного состояния.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Версия для согласования в Word: TZ-tsl-auth.docx.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У каждого требования указан статус: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1.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8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14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  <w:tc>
          <w:tcPr>
            <w:tcW w:type="dxa" w:w="8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Реализовано в текущей версии и проверяется автотестами</w:t>
            </w:r>
          </w:p>
        </w:tc>
      </w:tr>
      <w:tr>
        <w:tc>
          <w:tcPr>
            <w:tcW w:type="dxa" w:w="14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  <w:tc>
          <w:tcPr>
            <w:tcW w:type="dxa" w:w="8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Доработка tsl-auth до пилота первой очереди ERP</w:t>
            </w:r>
          </w:p>
        </w:tc>
      </w:tr>
      <w:tr>
        <w:tc>
          <w:tcPr>
            <w:tcW w:type="dxa" w:w="14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</w:t>
            </w:r>
          </w:p>
        </w:tc>
        <w:tc>
          <w:tcPr>
            <w:tcW w:type="dxa" w:w="8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Выполняется операционным ядром ERP; tsl-auth передаёт нужные данные</w:t>
            </w:r>
          </w:p>
        </w:tc>
      </w:tr>
      <w:tr>
        <w:tc>
          <w:tcPr>
            <w:tcW w:type="dxa" w:w="14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вопрос</w:t>
            </w:r>
          </w:p>
        </w:tc>
        <w:tc>
          <w:tcPr>
            <w:tcW w:type="dxa" w:w="8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решено; вынесено в раздел 18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6096000" cy="5133975"/>
            <wp:effectExtent t="0" r="0" b="0" l="0"/>
            <wp:docPr id="1" name="auth-architecture.png" descr="Базовая архитектура ТСЛ: Авторизатор реализован сервисом TSL Auth" title="Базовая архитектура ТСЛ: Авторизатор реализован сервисом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1. Базовая архитектура ТСЛ: Авторизатор реализован сервисом TSL Auth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Назначение и границы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TSL Auth выполняет единую идентификацию и аутентификацию пользователей и технических клиентов ERP по OAuth 2.0 / OpenID Connect. Сервис хранит учётные записи, роли приложений, матрицы «роль × разрешение» и выдаёт подписанные токены. Прикладные системы проверяют токен локально и не хранят паролей.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2. 1. Назначение и границы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1"/>
        <w:gridCol w:w="6967"/>
      </w:tblGrid>
      <w:tr>
        <w:trPr>
          <w:tblHeader/>
        </w:trP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Место в архитектуре ERP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Компонент «Управление идентификацией» (04.02); в базовой архитектуре ТСЛ — «Авторизатор»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Исходный код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https://github.com/akprof2000/tsl-auth, лицензия MIT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Поставка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Docker-образ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akprof2000/tsl-auth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(Docker Hub, GHCR), подписанный cosign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Технологии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.NET 10, ASP.NET Core, OpenIddict 7, ASP.NET Core Identity, EF Core; SQLite или PostgreSQL 14+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Очередь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Первая: вход пользователей ERP, технические клиенты Flowable, обработчиков обмена, DWH и импорта из 1С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Принятое решение. Граница ответственности: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3. 1. Назначение и границы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4985"/>
      </w:tblGrid>
      <w:tr>
        <w:trPr>
          <w:tblHeader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Входит в tsl-auth</w:t>
            </w:r>
          </w:p>
        </w:tc>
        <w:tc>
          <w:tcPr>
            <w:tcW w:type="dxa" w:w="4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Не входит в tsl-auth</w:t>
            </w:r>
          </w:p>
        </w:tc>
      </w:tr>
      <w:t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Учётные записи, пароли, блокировка, вход, выход, сессии</w:t>
            </w:r>
          </w:p>
        </w:tc>
        <w:tc>
          <w:tcPr>
            <w:tcW w:type="dxa" w:w="4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Организационная и финансовая иерархия (ядро ERP)</w:t>
            </w:r>
          </w:p>
        </w:tc>
      </w:tr>
      <w:t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и разрешения на уровне операций приложения</w:t>
            </w:r>
          </w:p>
        </w:tc>
        <w:tc>
          <w:tcPr>
            <w:tcW w:type="dxa" w:w="4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Области доступа по организациям, подразделениям, ЦФО, проектам и объектам: применяются ядром ERP при выборке данных</w:t>
            </w:r>
          </w:p>
        </w:tc>
      </w:tr>
      <w:t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Токены для пользователей и технических клиентов</w:t>
            </w:r>
          </w:p>
        </w:tc>
        <w:tc>
          <w:tcPr>
            <w:tcW w:type="dxa" w:w="4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Маскирование чувствительных полей в формах и отчётах ERP</w:t>
            </w:r>
          </w:p>
        </w:tc>
      </w:tr>
      <w:t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безопасности входов, учётных записей и назначений</w:t>
            </w:r>
          </w:p>
        </w:tc>
        <w:tc>
          <w:tcPr>
            <w:tcW w:type="dxa" w:w="4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 бизнес-действий с документами ERP (04.15, ядро ERP)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Хранение областей доступа (в tsl-auth как атрибуты назначения или в ядре ERP) — вопрос В-1.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Пользователи и роли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4086225"/>
            <wp:effectExtent t="0" r="0" b="0" l="0"/>
            <wp:docPr id="1" name="d01.png" descr="2. Пользователи и роли" title="2. Пользователи и ро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2. 2. Пользователи и роли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4. 2. Пользователи и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2"/>
        <w:gridCol w:w="3988"/>
        <w:gridCol w:w="3988"/>
      </w:tblGrid>
      <w:tr>
        <w:trPr>
          <w:tblHeader/>
        </w:trP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Действия в tsl-auth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 ERP (03.01)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Пользователь ERP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Входит, меняет и сбрасывает пароль, запрашивает роль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пользователь, руководитель ЦФО и другие бизнес-роли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Администратор доступа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Регистрирует приложения, ведёт матрицы, назначает роли, одобряет заявки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администратор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Аудитор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Просматривает админку и журнал без права изменения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Офицер безопасности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бота блокирует учётные записи и требует смену пароля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администратор (безопасность)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администратор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Разворачивает, обновляет и восстанавливает сервис; доступа к ролям пользователей не получает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администратор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клиент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Получает токен по client credentials с минимальными полномочиями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Flowable, обработчики обмена, DWH, импорт из 1С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Права администрирования самого сервиса задаются матрицей системного приложения </w:t>
      </w:r>
      <w:r>
        <w:rPr>
          <w:rFonts w:ascii="Consolas" w:cs="Consolas" w:eastAsia="Consolas" w:hAnsi="Consolas"/>
          <w:sz w:val="20"/>
          <w:szCs w:val="20"/>
        </w:rPr>
        <w:t xml:space="preserve">tsl-auth-admin</w:t>
      </w:r>
      <w:r>
        <w:rPr>
          <w:rFonts w:ascii="Arial" w:cs="Arial" w:eastAsia="Arial" w:hAnsi="Arial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administrator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auditor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notifier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reset-bot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security-bot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security-officer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3981450"/>
            <wp:effectExtent t="0" r="0" b="0" l="0"/>
            <wp:docPr id="1" name="tsl-auth-application.png" descr="TSL Auth: прикладной уровень (ArchiMate)" title="TSL Auth: прикладной уровень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3. TSL Auth: прикладной уровень (ArchiMate)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Процессы и сценарии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Основные сценарии: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Вход пользователя в приложение ERP по authorization code + PKCE.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Вызов API сервиса другим сервисом: client credentials; вызов от имени пользователя — token exchange.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Создание учётной записи администратором: с паролем, временным паролем или приглашением.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Саморегистрация с заявкой на роль; заявку одобряет администратор, приложение или бот.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Сброс пароля по email или через бота.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Блокировка учётной записи офицером безопасности через бота.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Прекращение доступа при увольнении или смене роли.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600450"/>
            <wp:effectExtent t="0" r="0" b="0" l="0"/>
            <wp:docPr id="1" name="d03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4. 3. Процессы и сценарии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2914650"/>
            <wp:effectExtent t="0" r="0" b="0" l="0"/>
            <wp:docPr id="1" name="d04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5. 3. Процессы и сценарии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352800"/>
            <wp:effectExtent t="0" r="0" b="0" l="0"/>
            <wp:docPr id="1" name="d07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6. 3. Процессы и сценарии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Исключительные сценарии: неверный пароль (счётчик попыток, временная блокировка), истёкший пароль (принудительная смена), отключённая учётная запись (отказ во входе, отзыв сессий), недоступность БД (узел остаётся живым, </w:t>
      </w:r>
      <w:r>
        <w:rPr>
          <w:rFonts w:ascii="Consolas" w:cs="Consolas" w:eastAsia="Consolas" w:hAnsi="Consolas"/>
          <w:sz w:val="20"/>
          <w:szCs w:val="20"/>
        </w:rPr>
        <w:t xml:space="preserve">/health/ready</w:t>
      </w:r>
      <w:r>
        <w:rPr>
          <w:rFonts w:ascii="Arial" w:cs="Arial" w:eastAsia="Arial" w:hAnsi="Arial"/>
          <w:sz w:val="22"/>
          <w:szCs w:val="22"/>
        </w:rPr>
        <w:t xml:space="preserve"> сообщает об отказе), повреждённая схема БД (самовосстановление, раздел 15).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Объекты и справочники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5962650"/>
            <wp:effectExtent t="0" r="0" b="0" l="0"/>
            <wp:docPr id="1" name="d05.png" descr="4. Объекты и справочники" title="4. Объекты и справоч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7. 4. Объекты и справочники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5. 4. Объекты и справочники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0"/>
        <w:gridCol w:w="2254"/>
        <w:gridCol w:w="4664"/>
      </w:tblGrid>
      <w:tr>
        <w:trPr>
          <w:tblHeader/>
        </w:trPr>
        <w:tc>
          <w:tcPr>
            <w:tcW w:type="dxa" w:w="2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Объект</w:t>
            </w:r>
          </w:p>
        </w:tc>
        <w:tc>
          <w:tcPr>
            <w:tcW w:type="dxa" w:w="22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Мастер-система</w:t>
            </w:r>
          </w:p>
        </w:tc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Место первичного ввода</w:t>
            </w:r>
          </w:p>
        </w:tc>
      </w:tr>
      <w:tr>
        <w:tc>
          <w:tcPr>
            <w:tcW w:type="dxa" w:w="2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Учётная запись пользователя</w:t>
            </w:r>
          </w:p>
        </w:tc>
        <w:tc>
          <w:tcPr>
            <w:tcW w:type="dxa" w:w="22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саморегистрация; после В-3 — кадровое событие 1С:ЗУП</w:t>
            </w:r>
          </w:p>
        </w:tc>
      </w:tr>
      <w:tr>
        <w:tc>
          <w:tcPr>
            <w:tcW w:type="dxa" w:w="2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Сотрудник, должность, подразделение</w:t>
            </w:r>
          </w:p>
        </w:tc>
        <w:tc>
          <w:tcPr>
            <w:tcW w:type="dxa" w:w="22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1С:ЗУП через ERP (вопрос В-3)</w:t>
            </w:r>
          </w:p>
        </w:tc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1С:ЗУП</w:t>
            </w:r>
          </w:p>
        </w:tc>
      </w:tr>
      <w:tr>
        <w:tc>
          <w:tcPr>
            <w:tcW w:type="dxa" w:w="2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Приложение (клиент OIDC)</w:t>
            </w:r>
          </w:p>
        </w:tc>
        <w:tc>
          <w:tcPr>
            <w:tcW w:type="dxa" w:w="22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</w:t>
            </w:r>
          </w:p>
        </w:tc>
      </w:tr>
      <w:tr>
        <w:tc>
          <w:tcPr>
            <w:tcW w:type="dxa" w:w="2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Роль, разрешение, матрица</w:t>
            </w:r>
          </w:p>
        </w:tc>
        <w:tc>
          <w:tcPr>
            <w:tcW w:type="dxa" w:w="22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App API приложения</w:t>
            </w:r>
          </w:p>
        </w:tc>
      </w:tr>
      <w:tr>
        <w:tc>
          <w:tcPr>
            <w:tcW w:type="dxa" w:w="2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Назначение роли</w:t>
            </w:r>
          </w:p>
        </w:tc>
        <w:tc>
          <w:tcPr>
            <w:tcW w:type="dxa" w:w="22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одобрение заявки</w:t>
            </w:r>
          </w:p>
        </w:tc>
      </w:tr>
      <w:tr>
        <w:tc>
          <w:tcPr>
            <w:tcW w:type="dxa" w:w="2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Область доступа</w:t>
            </w:r>
          </w:p>
        </w:tc>
        <w:tc>
          <w:tcPr>
            <w:tcW w:type="dxa" w:w="22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вопрос В-1</w:t>
            </w:r>
          </w:p>
        </w:tc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вопрос В-1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Статусы и переходы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181350"/>
            <wp:effectExtent t="0" r="0" b="0" l="0"/>
            <wp:docPr id="1" name="d06.png" descr="5. Статусы и переходы" title="5. Статусы и переход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8. 5. Статусы и переходы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Отключение учётной записи сразу отзывает все её сессии и refresh-токены на всех узлах.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Функциональные требования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6.1. Протоколы и токены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6. 6.1. Протоколы и токены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выполняет OAuth 2.0 / OIDC: authorization code + PKCE (S256 обязателен), client credentials, refresh с ротацией, token exchange (RFC 8693), introspection, revocation, userinfo, logout, discovery, JWKS. Grant password оставлен для унаследованных клиентов и включается для приложения отдельно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Access-токен — JWT RS256. Claims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role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permissions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&lt;client_id&gt;:&lt;разрешение&gt;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resource_access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совместимы с Keycloak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Сроки жизни задаются глобально и для приложения; клиент может их только сократить. По умолчанию: access и id — 15 мин, refresh — 14 дней, код авторизации — 5 мин, абсолютный срок сессии — 90 дней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Изменение прав применяется со следующего refresh, не позднее срока жизни access-токена. Отзыв сессии действует на всех узлах сразу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Персональный токен доступа (PAT) для скриптов не превышает текущих прав владельца и отзывается вместе с отключением учётной записи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6.2. Роли и полномочия (03.01, 04.09)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7. 6.2. Роли и полномочия (03.01, 04.09)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7710"/>
        <w:gridCol w:w="1414"/>
      </w:tblGrid>
      <w:tr>
        <w:trPr>
          <w:tblHeader/>
        </w:trP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Ф-6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каждого приложения есть разрешения на уровне операций (ввод, просмотр, проведение, формирование отчётов, удаление), роли и матрица «роль × разрешение». Роль имеет техническое имя для токена и название для людей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Ф-7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назначаются пользователям и техническим клиентам. Одна учётная запись имеет роли в нескольких приложениях; итоговые разрешения — объединение разрешений ролей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Ф-8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Роль помечается как запрашиваемая: пользователь запрашивает её при регистрации или заявкой; назначение выполняется только после одобрения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Назначение роли имеет период действия (с, по). По окончании периода сервис снимает роль, отзывает refresh-токены и пишет событие в журнал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Ф-10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Администратор задаёт пары несовместимых ролей. Сервис блокирует назначение второй роли пары и показывает причину; попытка пишется в журнал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Ф-11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Замещение: пользователь получает роли другого пользователя на указанный период по назначению администратора. В токене замещающего передаётся claim с идентификатором замещаемого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Ф-12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Отчёт для периодического пересмотра прав: пользователи, роли, дата и автор назначения, дата последнего входа, учётные записи без входа дольше заданного срока. Выгрузка в CSV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Ф-13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tsl-auth-admin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отделены от ролей приложений ERP. Технический администратор сервиса не получает доступа к бизнес-данным ERP через tsl-auth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6.3. Учётные записи и аутентификация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8. 6.3. Учётные записи и аутентификация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"/>
        <w:gridCol w:w="5507"/>
        <w:gridCol w:w="3764"/>
      </w:tblGrid>
      <w:tr>
        <w:trPr>
          <w:tblHeader/>
        </w:trPr>
        <w:tc>
          <w:tcPr>
            <w:tcW w:type="dxa" w:w="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5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37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Ф-14</w:t>
            </w:r>
          </w:p>
        </w:tc>
        <w:tc>
          <w:tcPr>
            <w:tcW w:type="dxa" w:w="5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Администратор создаёт пользователя с паролем, временным паролем (смена при первом входе) или ссылкой-приглашением</w:t>
            </w:r>
          </w:p>
        </w:tc>
        <w:tc>
          <w:tcPr>
            <w:tcW w:type="dxa" w:w="37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Ф-15</w:t>
            </w:r>
          </w:p>
        </w:tc>
        <w:tc>
          <w:tcPr>
            <w:tcW w:type="dxa" w:w="5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Пользователь сбрасывает пароль по email или через бота мессенджера и меняет пароль в личном кабинете</w:t>
            </w:r>
          </w:p>
        </w:tc>
        <w:tc>
          <w:tcPr>
            <w:tcW w:type="dxa" w:w="37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Ф-16</w:t>
            </w:r>
          </w:p>
        </w:tc>
        <w:tc>
          <w:tcPr>
            <w:tcW w:type="dxa" w:w="5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Политика паролей: длина, классы символов, запрет логина в пароле, история, срок действия. После N неудачных попыток учётная запись временно блокируется</w:t>
            </w:r>
          </w:p>
        </w:tc>
        <w:tc>
          <w:tcPr>
            <w:tcW w:type="dxa" w:w="37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Ф-17</w:t>
            </w:r>
          </w:p>
        </w:tc>
        <w:tc>
          <w:tcPr>
            <w:tcW w:type="dxa" w:w="5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Саморегистрация в приложении с заявкой на роли</w:t>
            </w:r>
          </w:p>
        </w:tc>
        <w:tc>
          <w:tcPr>
            <w:tcW w:type="dxa" w:w="37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Ф-18</w:t>
            </w:r>
          </w:p>
        </w:tc>
        <w:tc>
          <w:tcPr>
            <w:tcW w:type="dxa" w:w="5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Многофакторная аутентификация (TOTP) обязательна для ролей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tsl-auth-admin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для ролей приложений, помеченных как административные или критические. Сервис передаёт в токене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amr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 которому приложение требует повторного подтверждения для критической операции</w:t>
            </w:r>
          </w:p>
        </w:tc>
        <w:tc>
          <w:tcPr>
            <w:tcW w:type="dxa" w:w="37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Ф-19</w:t>
            </w:r>
          </w:p>
        </w:tc>
        <w:tc>
          <w:tcPr>
            <w:tcW w:type="dxa" w:w="5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по кадровому событию: ERP вызывает Admin API при увольнении или смене должности, сервис отключает учётную запись или снимает роли и отзывает сессии</w:t>
            </w:r>
          </w:p>
        </w:tc>
        <w:tc>
          <w:tcPr>
            <w:tcW w:type="dxa" w:w="37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(API); источник событий — вопрос В-3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6.4. Приложения и API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9. 6.4. Приложения и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Ф-20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Регистрация клиентов: тип (public / confidential), grant types, scopes, redirect URI, CORS для SPA по redirect URI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Технические клиенты Flowable, обработчиков обмена, DWH и импорта из 1С регистрируются отдельно, каждый — со своим секретом и минимальным набором разрешений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Страница входа оформляется под приложение: логотип, цвета, тексты, язык по умолчанию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 API выполняет всё, что доступно в админке. App API даёт приложению его срез пользователей, ролей, заявок и журнала; чужие данные ему не видны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 API: привязка мессенджера по одноразовому коду, сброс пароля, блокировка и разблокировка, принудительная смена пароля. Действия над чужими учётными записями — только по роли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security-officer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отправителя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Лента событий: long-polling, SSE, вебхуки с HMAC-подписью, повторами и outbox. Вебхуки не отправляются на loopback и link-local адреса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Ф-26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Интерфейсы описаны в OpenAPI; справочник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/docs/api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руководство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/docs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работают без интернета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6.5. Администрирование и локализация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10. 6.5. Администрирование и локализация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Веб-админка: приложения, матрицы, пользователи, заявки, сессии, события, журнал безопасности, языки, настройки, оформление входа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Интерфейс на русском и английском; языковые пакеты загружаются через админку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 обслуживания: восстановление администратора, перенос SQLite → PostgreSQL, проверка и пересборка схемы БД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Проверки и ограничения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Сервис отклоняет запрос без PKCE S256 для public-клиента.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Сервис не выдаёт токен отключённой, заблокированной или ожидающей роли учётной записи.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Клиент не получает scope и разрешения сверх назначенных ему ролей; token exchange не расширяет права пользователя.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Приложение через App API не видит и не меняет данные другого приложения.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Бот не выполняет действие над чужой учётной записью без роли </w:t>
      </w:r>
      <w:r>
        <w:rPr>
          <w:rFonts w:ascii="Consolas" w:cs="Consolas" w:eastAsia="Consolas" w:hAnsi="Consolas"/>
          <w:sz w:val="20"/>
          <w:szCs w:val="20"/>
        </w:rPr>
        <w:t xml:space="preserve">security-officer</w:t>
      </w:r>
      <w:r>
        <w:rPr>
          <w:rFonts w:ascii="Arial" w:cs="Arial" w:eastAsia="Arial" w:hAnsi="Arial"/>
          <w:sz w:val="22"/>
          <w:szCs w:val="22"/>
        </w:rPr>
        <w:t xml:space="preserve"> у привязанного отправителя.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Rate limiting ограничивает вход, </w:t>
      </w:r>
      <w:r>
        <w:rPr>
          <w:rFonts w:ascii="Consolas" w:cs="Consolas" w:eastAsia="Consolas" w:hAnsi="Consolas"/>
          <w:sz w:val="20"/>
          <w:szCs w:val="20"/>
        </w:rPr>
        <w:t xml:space="preserve">/connect/token</w:t>
      </w:r>
      <w:r>
        <w:rPr>
          <w:rFonts w:ascii="Arial" w:cs="Arial" w:eastAsia="Arial" w:hAnsi="Arial"/>
          <w:sz w:val="22"/>
          <w:szCs w:val="22"/>
        </w:rPr>
        <w:t xml:space="preserve">, introspect и revoke.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Интеграции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11. 8. Интеграции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5"/>
        <w:gridCol w:w="3637"/>
        <w:gridCol w:w="2546"/>
      </w:tblGrid>
      <w:tr>
        <w:trPr>
          <w:tblHeader/>
        </w:trP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Потребитель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Способ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Идентификация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 ERP (React)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authorization code + PKCE, refresh с ротацией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public-клиент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Операционное ядро ERP (FastAPI)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Проверка JWT по JWKS: подпись RS256,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права по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permissions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resource server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Flowable, обработчики RabbitMQ, Airflow/DWH, импорт из 1С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 credentials; вызов от имени пользователя — token exchange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confidential-клиенты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 (кадровые события, отчёт пересмотра прав)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 API, лента событий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admin-cli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Боты мессенджеров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 API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 с ролью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security-bot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Контракт токена версионируется: состав claims меняется с обратной совместимостью либо с переходным периодом, как требует 04.12. В репозитории есть примеры интеграции на .NET, Node.js, Go и Python и демо «Документооборот»: PWA, App API и бот. Пример для Python/FastAPI входит в первую очередь.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Права доступа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Минимальные полномочия: технический клиент получает только разрешения, нужные его операциям.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Административные интерфейсы tsl-auth (админка, Admin API) доступны только ролям </w:t>
      </w:r>
      <w:r>
        <w:rPr>
          <w:rFonts w:ascii="Consolas" w:cs="Consolas" w:eastAsia="Consolas" w:hAnsi="Consolas"/>
          <w:sz w:val="20"/>
          <w:szCs w:val="20"/>
        </w:rPr>
        <w:t xml:space="preserve">tsl-auth-admin</w:t>
      </w:r>
      <w:r>
        <w:rPr>
          <w:rFonts w:ascii="Arial" w:cs="Arial" w:eastAsia="Arial" w:hAnsi="Arial"/>
          <w:sz w:val="22"/>
          <w:szCs w:val="22"/>
        </w:rPr>
        <w:t xml:space="preserve">; аудитор имеет права только на просмотр.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Доступ к журналу безопасности выдаётся отдельной ролью и сам журналируется (1-я очередь).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Аварийный доступ: CLI восстановления администратора запускается только из контейнера сервиса; запуск пишется в журнал.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Аудит и журналирование (04.15)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12. 10. Аудит и журналирование (04.15)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7710"/>
        <w:gridCol w:w="1414"/>
      </w:tblGrid>
      <w:tr>
        <w:trPr>
          <w:tblHeader/>
        </w:trP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А-1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безопасности фиксирует входы, неудачные попытки, изменения состояния учётных записей, назначение и снятие ролей, изменение матриц, приложений и настроек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А-2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Событие содержит пользователя, время, объект, вид действия, приложение, результат, IP и User-Agent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А-2а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Событие содержит идентификатор трассировки, по которому оно связывается с журналом приложения и запросом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А-3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Для изменений событие дополнительно содержит прежнее и новое значение и основание (комментарий администратора)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А-4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не изменяется и не удаляется через интерфейсы сервиса; удаление выполняется только по сроку хранения, отдельно для каждого типа событий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А-5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не содержит паролей, токенов и секретов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А-6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Выгрузка журнала в CSV с защитой от формульных инъекций; события уровня warning и выше дублируются в ленту событий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А-7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Просмотр и выгрузка журнала сами пишутся в журнал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Сроки хранения по типам событий — вопрос В-5.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Нефункциональные требования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11.1. Архитектура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752850" cy="6667500"/>
            <wp:effectExtent t="0" r="0" b="0" l="0"/>
            <wp:docPr id="1" name="d02.png" descr="11.1. Архитектура" title="11.1. Архитекту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9. 11.1. Архитектура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Сервис не хранит состояния в памяти: ключи подписи, сессии, настройки и очереди находятся в БД, поэтому любой узел кластера обслуживает любой запрос. В работе нет обращений в интернет; интерфейс и справочник API работают без CDN. Сервис — отдельный компонент, а не модуль монолита ERP: ERP зависит только от стандартного OIDC-контракта, поэтому замена поставщика не меняет бизнес-логику (04.02, 04.14).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11.2. Производительность (04.05)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Для расчёта принимается верхняя граница первой очереди — 220 активных пользователей ERP одновременно.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13. 11.2. Производительность (04.05)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6"/>
        <w:gridCol w:w="2436"/>
        <w:gridCol w:w="2436"/>
      </w:tblGrid>
      <w:tr>
        <w:trPr>
          <w:tblHeader/>
        </w:trP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Одиночный режим (SQLite)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Кластер (3 узла + PostgreSQL)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Пропускная способность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менее 400 запросов/с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менее 600 запросов/с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client_credentials, p95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2,5 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200 мс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Вход по паролю (PBKDF2 100 000 итераций), p95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5 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700 мс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Ошибки под нагрузкой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0 %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0 %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Промышленный режим ERP — кластер: вход укладывается в 2 с для 95 % запросов, как требует 04.05 для типовой операции. Методика: k6, 45 виртуальных пользователей, 60 с (</w:t>
      </w:r>
      <w:r>
        <w:rPr>
          <w:rFonts w:ascii="Consolas" w:cs="Consolas" w:eastAsia="Consolas" w:hAnsi="Consolas"/>
          <w:sz w:val="20"/>
          <w:szCs w:val="20"/>
        </w:rPr>
        <w:t xml:space="preserve">tests/load</w:t>
      </w:r>
      <w:r>
        <w:rPr>
          <w:rFonts w:ascii="Arial" w:cs="Arial" w:eastAsia="Arial" w:hAnsi="Arial"/>
          <w:sz w:val="22"/>
          <w:szCs w:val="22"/>
        </w:rPr>
        <w:t xml:space="preserve">). В первой очереди профиль нагрузки дополняется сценарием 220 пользователей.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11.3. Доступность, RPO и RTO (04.07)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14. 11.3. Доступность, RPO и RTO (04.07)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4"/>
        <w:gridCol w:w="7414"/>
        <w:gridCol w:w="1730"/>
      </w:tblGrid>
      <w:tr>
        <w:trPr>
          <w:tblHeader/>
        </w:trP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Н-1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Доступность не ниже 99,5 % в согласованные часы работы, как у операционного ядра ERP: без tsl-auth пользователи не входят в ERP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(кластер)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Н-2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Кластер из любого числа узлов за балансировщиком. Потеря узла незаметна клиентам: 0 ошибок при rolling update 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kill -9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узла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Н-3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выданные токены проверяются приложениями локально по кэшу JWKS, поэтому кратковременный отказ tsl-auth не прерывает работу вошедших пользователей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Н-4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Сессии и ключи подписи переживают перезапуск узлов и сервиса целиком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Н-5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 недоступности PostgreSQL узлы остаются живыми и восстанавливаются без рестарта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Н-6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RPO не более 15 минут, RTO не более 4 часов — за счёт резервного копирования PostgreSQL (11.4)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11.4. Резервное копирование и восстановление (04.08)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Копируются БД сервиса (учётные записи, роли, клиенты, ключи подписи, журнал) и мастер-ключ; без мастер-ключа зашифрованные поля не восстанавливаются, поэтому мастер-ключ хранится отдельно от копий БД.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15. 11.4. Резервное копирование и восстановление (04.08)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"/>
        <w:gridCol w:w="5210"/>
        <w:gridCol w:w="4081"/>
      </w:tblGrid>
      <w:tr>
        <w:trPr>
          <w:tblHeader/>
        </w:trP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К-1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Режим копирования PostgreSQL — по 04.08: полная копия еженедельно, ежедневная инкрементальная, журналы транзакций с интервалом не более 15 минут; суточные копии хранятся 35 дней, недельные — 6 месяцев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 (на площадке заказчика, вопрос В-6)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К-2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 пересборкой схемы сервис сам делает резервную копию БД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К-3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Восстановление проверяется раз в квартал в изолированной среде: данные, права, вход пользователей и технических клиентов. Результат оформляется протоколом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11.5. Обновление схемы и самовосстановление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16. 11.5. Обновление схемы и самовосстановление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Схема БД обновляется автоматически при старте под advisory-lock; узлы кластера ждут друг друга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стартует и сохраняет данные, если БД повреждена или её схема в неизвестном состоянии. Пересборка идёт с переносом данных и резервной копией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Запуск на схеме новее версии сервиса запрещён, пока это не разрешено явно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3629025" cy="6667500"/>
            <wp:effectExtent t="0" r="0" b="0" l="0"/>
            <wp:docPr id="1" name="d08.png" descr="11.5. Обновление схемы и самовосстановление" title="11.5. Обновление схемы и самовосстановле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10. 11.5. Обновление схемы и самовосстановление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11.6. Информационная безопасность (04.09)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17. 11.6. Информационная безопасность (04.09)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"/>
        <w:gridCol w:w="5354"/>
        <w:gridCol w:w="3927"/>
      </w:tblGrid>
      <w:tr>
        <w:trPr>
          <w:tblHeader/>
        </w:trP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Пароли хранятся как PBKDF2-HMAC-SHA512, 100 000 итераций. Персональные данные в БД шифруются AES-256-GCM, ключи выводятся из мастер-ключа через HKDF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Б-2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Поиск по логину и email идёт через HMAC-индекс. Секреты клиентов, PAT и коды привязки хранятся только хешами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Б-3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Мастер-ключ не хранится в БД. В первой очереди он, как и остальные секреты, задаётся переменной окружения контейнера или файлом настроек вне репозитория; в одиночном режиме генерируется в томе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Б-4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не попадают в исходный код, журналы и формы. CI проверяет всю историю репозитория на секреты (gitleaks)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Б-5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Защищённое хранилище секретов: OpenBao KV v2 по AppRole под теми же ключами настроек, без изменения кода. Сервис поддерживает его уже сейчас; развёртывание — после MVP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(поддержка); развёртывание — вопрос В-4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Б-6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Каналы шифруются: HTTPS в контейнере или на обратном прокси, TLS к PostgreSQL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Б-7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Rate limiting на вход,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/connect/token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introspect и revoke. Строгий CSP, antiforgery, SameSite cookie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Б-8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ссылки строятся только из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Auth__Issuer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Заголовки прокси принимаются только из доверенных сетей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Б-9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Образ distroless, non-root, read-only ФС,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cap_drop: ALL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Trivy — 0 уязвимостей, Dockle — CIS пройден. Подпись cosign, SBOM, SLSA provenance. Релиз с критической уязвимостью не выпускается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Б-10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Анализ угроз сервиса оформлен в security.md и обновляется при существенном изменении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11.7. Мониторинг и эксплуатация (04.10)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Сервис отдаёт </w:t>
      </w:r>
      <w:r>
        <w:rPr>
          <w:rFonts w:ascii="Consolas" w:cs="Consolas" w:eastAsia="Consolas" w:hAnsi="Consolas"/>
          <w:sz w:val="20"/>
          <w:szCs w:val="20"/>
        </w:rPr>
        <w:t xml:space="preserve">/health/live</w:t>
      </w:r>
      <w:r>
        <w:rPr>
          <w:rFonts w:ascii="Arial" w:cs="Arial" w:eastAsia="Arial" w:hAnsi="Arial"/>
          <w:sz w:val="22"/>
          <w:szCs w:val="22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/health/ready</w:t>
      </w:r>
      <w:r>
        <w:rPr>
          <w:rFonts w:ascii="Arial" w:cs="Arial" w:eastAsia="Arial" w:hAnsi="Arial"/>
          <w:sz w:val="22"/>
          <w:szCs w:val="22"/>
        </w:rPr>
        <w:t xml:space="preserve">, метрики Prometheus, трассировки и журналы по OTLP, журналы в Loki. Метрики: число входов и отказов, выдача токенов по grant type, блокировки, очередь вебхуков, время ответа. Идентификатор трассировки связывает запрос и журнал приложения; с событием журнала безопасности — после А-2а. Пороги уведомлений и ответственные — по решению A17 архитектурного ЧТЗ.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11.8. Среды (04.11)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Среды разработки, тестирования и промышленной эксплуатации используют отдельные экземпляры tsl-auth с отдельными БД, мастер-ключами, секретами клиентов и </w:t>
      </w:r>
      <w:r>
        <w:rPr>
          <w:rFonts w:ascii="Consolas" w:cs="Consolas" w:eastAsia="Consolas" w:hAnsi="Consolas"/>
          <w:sz w:val="20"/>
          <w:szCs w:val="20"/>
        </w:rPr>
        <w:t xml:space="preserve">Auth__Issuer</w:t>
      </w:r>
      <w:r>
        <w:rPr>
          <w:rFonts w:ascii="Arial" w:cs="Arial" w:eastAsia="Arial" w:hAnsi="Arial"/>
          <w:sz w:val="22"/>
          <w:szCs w:val="22"/>
        </w:rPr>
        <w:t xml:space="preserve">. Токен одной среды не принимается в другой. Автотесты создают учётные записи и секреты при запуске и не используют продуктивных данных.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12. Развёртывание и выпуск (04.12)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4438650"/>
            <wp:effectExtent t="0" r="0" b="0" l="0"/>
            <wp:docPr id="1" name="d09.png" descr="12. Развёртывание и выпуск (04.12)" title="12. Развёртывание и выпуск (04.1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11. 12. Развёртывание и выпуск (04.12)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18. 12. Развёртывание и выпуск (04.12)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Одиночный режим и кластер запускаются одной командой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compose up -d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Закрытый контур: образы переносятся через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save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load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scripts/export-images.*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задаются в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(переменные контейнеров) или в файле настроек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deploy/appsettings.mvp.example.json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); необязательно — файлы docker secrets или OpenBao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Выпуск — идентифицируемый артефакт: тег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vX.Y.Z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коммите с зелёными CI и E2E, подписанный образ, SBOM, заметки о выпуске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Возврат к предыдущей версии — смена тега образа и перезапуск, не более 30 минут. Миграция схемы, не совместимая с предыдущей версией, выпускается с отдельным планом отката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6096000" cy="3181350"/>
            <wp:effectExtent t="0" r="0" b="0" l="0"/>
            <wp:docPr id="1" name="tsl-auth-deployment.png" descr="TSL Auth: развёртывание (ArchiMate)" title="TSL Auth: развёртывание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12. TSL Auth: развёртывание (ArchiMate)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13. Миграция данных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Переход с другого поставщика: формат claims совместим с Keycloak, поэтому проверка прав в приложениях не переписывается. Учётные записи создаются через Admin API; пароли не переносятся — пользователи получают приглашение или временный пароль. Перенос одиночного режима в кластер выполняет CLI </w:t>
      </w:r>
      <w:r>
        <w:rPr>
          <w:rFonts w:ascii="Consolas" w:cs="Consolas" w:eastAsia="Consolas" w:hAnsi="Consolas"/>
          <w:sz w:val="20"/>
          <w:szCs w:val="20"/>
        </w:rPr>
        <w:t xml:space="preserve">migrate-to-postgres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14. Тестовые сценарии и критерии приёмки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19. 14. Тестовые сценарии и критерии приёмки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6"/>
        <w:gridCol w:w="3934"/>
        <w:gridCol w:w="3868"/>
      </w:tblGrid>
      <w:tr>
        <w:trPr>
          <w:tblHeader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Вид испытаний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Средство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Критерий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Модульные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xUnit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tests/TslAuth.UnitTests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проходят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Интеграционные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xUnit + WebApplicationFactory на SQLite и PostgreSQL в контейнере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проходят, включая обновление схемы и самовосстановление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Сценарии входа, регистрации, админки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Нагрузочные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k6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Показатели 11.2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Отказоустойчивость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tests/resilience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ошибок при rolling update и отказе узла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в переменных и файле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tests/resilience/run-env-secrets.ps1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стартует с секретами из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из файла настроек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Trivy, Dockle, gitleaks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уязвимостей, CIS пройден, 0 секретов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Документация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scripts/validate-docs.ps1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проблем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Восстановление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Проверка по К-3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Протокол с фактическим RTO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Приёмка версии: зелёные CI и E2E на коммите релиза, опубликованный подписанный образ, документация соответствует версии. Приёмка для первой очереди ERP дополнительно требует выполнения требований со статусом «1-я очередь» и сценария C07 архитектурного ЧТЗ: проверены технические клиенты, ограничения полномочий, административный доступ и секреты.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15. Этапы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20. 15. Этапы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3"/>
        <w:gridCol w:w="5404"/>
        <w:gridCol w:w="1081"/>
      </w:tblGrid>
      <w:tr>
        <w:trPr>
          <w:tblHeader/>
        </w:trP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Ядро: протоколы, роли, пользователи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 админкой и Admin API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Кластер и безопасность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PostgreSQL, шифрование, защищённый образ, нагрузочные тесты и тесты отказов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API самообслуживания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App API, Bot API, лента событий, саморегистрация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Надёжность данных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Обновление схемы, перенос SQLite → PostgreSQL, самовосстановление БД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Наблюдаемость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Prometheus, OpenTelemetry, Loki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Доработка для первой очереди ERP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Ф-9–Ф-12, Ф-18, А-2а, А-3, А-7, Н-6, К-1, К-3, пример FastAPI, профиль нагрузки 220 пользователей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запланирован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16. Обучение и инструкции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21. 16. Обучение и инструкции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6"/>
        <w:gridCol w:w="5462"/>
      </w:tblGrid>
      <w:tr>
        <w:trPr>
          <w:tblHeader/>
        </w:trP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Документ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Файл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Обзор и быстрый старт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README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Архитектура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architecture.md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Развёртывание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deployment.md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Конфигурация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configuration.md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Интеграция приложений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integration.md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Руководство администратора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administration.md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security.md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Тестирование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testing.md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Регламент эксплуатации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operations.md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ArchiMate-модель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archimate/auth-architecture.drawio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Документация актуализируется вместе с кодом; расхождение документации и поведения считается дефектом (04.14).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17. Соответствие общему ТЗ ERP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22. 17. Соответствие общему ТЗ ERP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1"/>
        <w:gridCol w:w="1180"/>
        <w:gridCol w:w="2557"/>
      </w:tblGrid>
      <w:tr>
        <w:trPr>
          <w:tblHeader/>
        </w:trP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 общего ТЗ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Где выполняется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Единая учётная запись, единая идентификация и аутентификация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Ф-1, Ф-7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OIDC для пользователей и технических клиентов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04.02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Ф-1, Ф-21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Матрица прав на уровне операций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Ф-6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Совмещение ролей и блокировка несовместимых полномочий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Ф-7, Ф-10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Области доступа по организациям, подразделениям, ЦФО, проектам, объектам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ERP; В-1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Период действия прав, делегирование, замещение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Ф-9, Ф-11; правила — В-2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при смене роли или увольнении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Ф-14, Ф-19; источник — В-3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Периодическая проверка актуальности прав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Ф-12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Разделение технического администрирования и бизнес-данных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Ф-13, раздел 9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Многофакторная аутентификация для административных ролей и критических операций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Ф-18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в защищённом хранилище, контроль секретов в коде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Б-3–Б-5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Шифрование данных и каналов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Б-1, Б-6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Маскирование чувствительных полей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 входов, учётных записей, назначений; защита журнала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04.15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А-1–А-7, А-2а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Доступность 99,5 %, RPO 15 мин, RTO 4 ч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04.07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Н-1–Н-6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Резервное копирование и проверка восстановления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04.08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К-1–К-3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Мониторинг, метрики, трассировка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04.10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11.7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Разделение сред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04.11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11.8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Выпуск и откат не более 30 минут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04.12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Р-4, Р-5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Передача исходного кода, тестов, документации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04.14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разделы 14, 16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18. Открытые вопросы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23. 18. Открытые вопросы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"/>
        <w:gridCol w:w="5354"/>
        <w:gridCol w:w="3927"/>
      </w:tblGrid>
      <w:tr>
        <w:trPr>
          <w:tblHeader/>
        </w:trP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Вопрос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Кто решает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В-1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Где хранятся области доступа (организация, подразделение, ЦФО, проект, объект): как атрибуты назначения роли в tsl-auth с передачей в токене или в ядре ERP с проверкой при выборке данных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Архитектор ERP, ответственный за авторизацию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В-2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Правила делегирования и замещения: кто назначает, максимальный срок, какие роли не делегируются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владельцы процессов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В-3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Источник кадровых событий (1С:ЗУП через ERP) и допустимая задержка прекращения доступа после увольнения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ИТ заказчика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В-4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 развёртывания OpenBao в промышленной среде; до него секреты задаются переменными окружения и файлом настроек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ИТ заказчика, архитектор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В-5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Сроки хранения журнала безопасности по типам событий и порядок доступа аудитора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служба безопасности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В-6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Площадка и средство резервного копирования PostgreSQL, отдельное хранение мастер-ключа (A15, A21 архитектурного ЧТЗ)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ИТ заказчика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В-7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Перечень критических операций ERP, требующих повторного подтверждения MFA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владельцы процессов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В-8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Перечень пар несовместимых ролей и порядок исключения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служба безопасности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В-9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Способ второго фактора в закрытой сети: TOTP, аппаратный ключ или бот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служба безопасности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В-10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Частота и ответственные за пересмотр прав, срок автоматического отключения неактивных учётных записей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служба безопасности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Варианты и предложения по каждому вопросу — в документе Вопросы для ЧТЗ.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Использованные материалы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Статьи базы знаний: UKA-A-91 (03.01), UKA-A-122 и UKA-A-311 (04.02, 04.02.01, вопрос A02), UKA-A-124 (04.05), UKA-A-126 (04.07), UKA-A-127 (04.08), UKA-A-128 (04.09), UKA-A-129 (04.10), UKA-A-130 (04.11), UKA-A-131 (04.12), UKA-A-133 (04.14), UKA-A-98 (04.15), UKA-A-99 (07.01, шаблон ЧТЗ).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Допущения: для расчёта нагрузки принимается 220 одновременно активных пользователей; требования к доступности tsl-auth приняты равными требованиям к операционному ядру ERP, потому что без входа ядро недоступно.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16"/>
        <w:szCs w:val="16"/>
      </w:rPr>
      <w:t xml:space="preserve">ТЗ tsl-auth, версия 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6" w:hanging="284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b74b61c5416e2bb1b1d096614a1f8f150e7035.png"/><Relationship Id="rId10" Type="http://schemas.openxmlformats.org/officeDocument/2006/relationships/image" Target="media/84d547cec65a96fa4bf2c270a332aec081558198.png"/><Relationship Id="rId11" Type="http://schemas.openxmlformats.org/officeDocument/2006/relationships/image" Target="media/87794cecdc2163edd1c838319ae8933763a21a43.png"/><Relationship Id="rId12" Type="http://schemas.openxmlformats.org/officeDocument/2006/relationships/image" Target="media/f7734e957200547fb9a2cedb2c08a3f709df60e9.png"/><Relationship Id="rId13" Type="http://schemas.openxmlformats.org/officeDocument/2006/relationships/image" Target="media/09a486499da75c6ec60a978e372632fbbfefac27.png"/><Relationship Id="rId14" Type="http://schemas.openxmlformats.org/officeDocument/2006/relationships/image" Target="media/89b542bda1c3edee389421700bca4f21d30035e1.png"/><Relationship Id="rId15" Type="http://schemas.openxmlformats.org/officeDocument/2006/relationships/image" Target="media/c6eea5bdbf9215664c8b35af731c4457670bf9ba.png"/><Relationship Id="rId16" Type="http://schemas.openxmlformats.org/officeDocument/2006/relationships/image" Target="media/9308c108f0423ab96adb915348f9205510ee52d3.png"/><Relationship Id="rId17" Type="http://schemas.openxmlformats.org/officeDocument/2006/relationships/image" Target="media/e5c421398f78e4938a10fd05e5d22ed0a535b6a9.png"/><Relationship Id="rId18" Type="http://schemas.openxmlformats.org/officeDocument/2006/relationships/image" Target="media/b8018ad98bfed872eb62a63c5d5e62e652ef6165.png"/><Relationship Id="rId19" Type="http://schemas.openxmlformats.org/officeDocument/2006/relationships/image" Target="media/895c418b04f272cd28e802774c727aba81e53170.png"/><Relationship Id="rId20" Type="http://schemas.openxmlformats.org/officeDocument/2006/relationships/image" Target="media/4ea7ea7df6fa19dececc2f5838bbeb4646b0a2b5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tsl-auth</dc:title>
  <dc:creator>TSL</dc:creator>
  <dc:description>Техническое задание на TSL Auth</dc:description>
  <cp:lastModifiedBy>Un-named</cp:lastModifiedBy>
  <cp:revision>1</cp:revision>
  <dcterms:created xsi:type="dcterms:W3CDTF">2026-09-28T16:50:15.388Z</dcterms:created>
  <dcterms:modified xsi:type="dcterms:W3CDTF">2026-09-28T16:50:15.394Z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