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ARCHITECTURE &amp; SECURITY OVERVIEW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0E7C7B"/>
          <w:sz w:val="22"/>
          <w:szCs w:val="22"/>
        </w:rPr>
        <w:t xml:space="preserve">Training &amp; Certification Platform — Technical Design for Reviewer Assessment</w:t>
      </w:r>
    </w:p>
    <w:p>
      <w:pPr>
        <w:spacing w:after="60" w:line="254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Prepared by Akram Mohammed  |  July 2026  |  Status labels: [Demo] = implemented in the working demo · [Pilot gate] = mandatory before first real users · [Roadmap] = contract-driven</w:t>
      </w:r>
    </w:p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Least privilege, enforced in the database.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Tenant isolation is implemented as PostgreSQL Row-Level Security policies — not application-code filters — so an application bug cannot widen data access beyond what policy allows.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No patient data, by design and by contract.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platform stores workforce training records only (names, work emails, roles, progress, scores, certificates). Uploaded training content is contractually warranted de-identified, with an upload-time attestation. This keeps the system outside health-records regimes deliberately.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Human-in-the-loop AI.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AI drafts content and answers support questions; humans approve content before publication, and the assistant is hard-scoped away from clinical territory.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Honest status labeling.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Every control in this document is labeled Demo, Pilot gate, or Roadmap. Nothing is claimed as implemented that is not.</w:t>
      </w:r>
    </w:p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 System Architecture</w:t>
      </w:r>
    </w:p>
    <w:p>
      <w:pPr>
        <w:spacing w:after="85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Application: Next.js (TypeScript) served on Vercel. Data: Supabase-managed PostgreSQL with Row-Level Security, authentication, and private object storage. AI: large-language-model calls through a provider-abstraction layer (Vercel AI SDK) so provider, model, and inference region are per-tenant configuration — direct API, AWS Bedrock, Azure, Google Vertex, or customer-supplied keys (BYOK) [Demo: single provider through the abstraction; multi-provider config: Roadmap]. Long-running work (transcription, media processing, batch certificate generation, notifications) executes in an isolated background-job layer, never in web request handlers [Pilot gate]. The client is built low-bandwidth-first (functional on 3G, no autoplay, metadata-only video preload, graceful degradation when media fails to load) [Demo], with installable-app (PWA) and offline module caching for field environments [Roadmap]. Scale path: LMS workloads are read-heavy and modest; the one anticipated scaling cost is video bandwidth, with a planned migration to zero-egress object storage/CDN at volume — a storage-layer change, not an architectural one.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0E7C7B"/>
          <w:sz w:val="21"/>
          <w:szCs w:val="21"/>
        </w:rPr>
        <w:t xml:space="preserve">Tenancy model</w:t>
      </w:r>
    </w:p>
    <w:p>
      <w:pPr>
        <w:spacing w:after="85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Two levels: VENDOR (the AI company — branding, catalog, admins) → PROGRAM (a deployment — cohorts, sub-branding, facility tags, its own reporting). Every learner belongs to exactly one program. Adding a deployment is configuration, not code. Where a contract requires data residency, a deployment is provisioned as a separate database project in the required region — physical separation for sovereign workloads rather than logical-only isolation [Roadmap, architecture supports it today].</w:t>
      </w:r>
    </w:p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 Data Protection &amp; Isolation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6860"/>
      </w:tblGrid>
      <w:tr>
        <w:tc>
          <w:tcPr>
            <w:tcW w:type="dxa" w:w="2500"/>
            <w:shd w:fill="1B3A5C" w:val="clear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6860"/>
            <w:shd w:fill="1B3A5C" w:val="clear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Tenant isolation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Postgres RLS on every domain table, scoped by vendor and program; policies use a single canonical helper for auditability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Isolation verification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Cross-tenant and cross-program access tests run as SQL tests in CI on every change; a seeded second vendor exists solely to prove cross-vendor isolation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Encryption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TLS 1.2+ in transit; AES-256 at rest via managed platform (database, storage, backups)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Media access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Training videos and certificates live in private buckets; access is via short-lived signed URLs issued server-side after an enrollment check — no public object URLs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Secrets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All keys server-side only; no secrets in client code; service-role credentials confined to server routes and never used in application query paths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Data categories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Staff training records only; no patient data (contractual warranty + upload attestation) [Demo policy, Pilot contract]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Retention &amp; deletion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Per-tenant export and deletion workflows; data processing agreement offered as standard [Pilot gate]</w:t>
            </w:r>
          </w:p>
        </w:tc>
      </w:tr>
    </w:tbl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 Identity &amp; Access</w:t>
      </w:r>
    </w:p>
    <w:p>
      <w:pPr>
        <w:spacing w:after="85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Managed authentication (email/password with secure session handling) with four roles — learner, supervisor, program/vendor admin, platform operator — each mapped to distinct RLS policy sets: learners read and write only their own progress; supervisors sign off practical assessments only within their program; admins see their organization’s data only [Demo]. Login and public endpoints are rate-limited [Pilot gate]. MFA for admin roles and SSO/SAML for enterprise identity providers are contract-driven [Roadmap].</w:t>
      </w:r>
    </w:p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 AI Safety &amp; Governance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Scoped assistant: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answers are grounded in retrieved platform and course content; when retrieval finds nothing, the assistant says so rather than inventing — no open-ended generation about the platform [Demo].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Clinical refusal as a hard rule: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any request for medical, diagnostic, or image-interpretation guidance is refused and redirected to qualified clinical channels. This is a product invariant, tested, not a policy memo [Demo].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Per-model certification gate: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 versioned evaluation suite (clinical-refusal cases, multilingual cases, grounding checks) must pass before any model or prompt change ships, and before any alternative provider is enabled for a tenant — guardrail behavior is never assumed portable across models [Demo: test set; Pilot gate: automated scoring in CI].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Abuse controls: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per-user rate limits, input length caps, conversation caps, and full logging of assistant interactions for review [Demo].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Provider &amp; residency flexibility: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abstraction layer allows inference to run with a regional provider (e.g., in-country or in-region cloud endpoints) or on customer-supplied keys where procurement or residency requires it [Roadmap].</w:t>
      </w:r>
    </w:p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 Application &amp; Operational Security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00"/>
        <w:gridCol w:w="6860"/>
      </w:tblGrid>
      <w:tr>
        <w:tc>
          <w:tcPr>
            <w:tcW w:type="dxa" w:w="2500"/>
            <w:shd w:fill="1B3A5C" w:val="clear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6860"/>
            <w:shd w:fill="1B3A5C" w:val="clear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Practice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SDLC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All changes via pull request with acceptance criteria; RLS SQL tests in CI [Demo]; end-to-end golden-path tests (login → course → certificate → verify) in CI [Pilot gate]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Environments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Separate development and production projects; schema changes only as versioned migration files in the repository — no manual production edits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Error tracking (Sentry) and uptime monitoring wired from the first build, alerting the operator [Demo]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Backups &amp; recovery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Daily managed backups [Demo]; point-in-time recovery enabled plus a performed, documented restore drill before the first real learner record [Pilot gate]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Public endpoints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Certificate verification returns only name, course, issue/expiry, and validity — minimal disclosure by design; rate-limited [verification: Demo; limits: Pilot gate]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Dependency &amp; patch hygiene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Scheduled dependency updates and security-header review [Pilot gate]</w:t>
            </w:r>
          </w:p>
        </w:tc>
      </w:tr>
      <w:tr>
        <w:tc>
          <w:tcPr>
            <w:tcW w:type="dxa" w:w="250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Assurance options</w:t>
            </w:r>
          </w:p>
        </w:tc>
        <w:tc>
          <w:tcPr>
            <w:tcW w:type="dxa" w:w="6860"/>
            <w:tcMar>
              <w:top w:type="dxa" w:w="50"/>
              <w:left w:type="dxa" w:w="95"/>
              <w:bottom w:type="dxa" w:w="50"/>
              <w:right w:type="dxa" w:w="95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Source-code escrow, professional liability (E&amp;O) insurance, security questionnaire responses, and SLA terms available at contract [Roadmap, prepared]</w:t>
            </w:r>
          </w:p>
        </w:tc>
      </w:tr>
    </w:tbl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7. Compliance &amp; Privacy Alignment</w:t>
      </w:r>
    </w:p>
    <w:p>
      <w:pPr>
        <w:spacing w:after="85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platform processes workforce training data and is designed to GDPR-style principles: minimal collection, purpose limitation, tenant-controlled export and deletion, and a standard data processing agreement. Deployment jurisdictions each have applicable data-protection law (for example EU GDPR; India’s DPDP Act 2023; Singapore’s PDPA and public-sector hosting rules; Kenya’s Data Protection Act 2019; GDPR-style Caribbean statutes; US state privacy laws) — addressed through per-deployment hosting-region selection and contract terms rather than one-size-fits-all claims. Certificates are worded as product-competency credentials, never clinical credentialing or continuing-education credit. Accessibility (WCAG) and audit-log export are roadmap items scheduled ahead of government-facing rollouts.</w:t>
      </w:r>
    </w:p>
    <w:p>
      <w:pPr>
        <w:pBdr>
          <w:bottom w:val="single" w:color="0E7C7B" w:sz="8"/>
        </w:pBdr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8. Summary: Current State vs. Committed Hardening</w:t>
      </w:r>
    </w:p>
    <w:p>
      <w:pPr>
        <w:spacing w:after="85" w:line="25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working demo already implements the controls that are architectural — database-enforced tenant isolation with CI verification, private media with signed URLs, server-confined secrets, environment separation, error tracking, the AI clinical-refusal invariant, and minimal-disclosure public verification. The Pilot Hardening Gate — background-job isolation, point-in-time recovery with a performed restore drill, automated end-to-end and AI-evaluation suites in CI, rate limiting across public endpoints, and deletion workflows with a standard DPA — is a mandatory, itemized precondition to onboarding real users, not a best-effort intention. Contract-driven items (SSO/MFA, residency-specific hosting, escrow, SLA, accessibility) are scoped and priced per engagement. Questions, deeper review, or a walkthrough of any control are welcome.</w:t>
      </w:r>
    </w:p>
    <w:sectPr>
      <w:footerReference w:type="default" r:id="rId7"/>
      <w:pgSz w:w="12240" w:h="15840" w:orient="portrait"/>
      <w:pgMar w:top="740" w:right="960" w:bottom="74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Confidential — prepared for partner review  •  Page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2026-07-05T19:55:35.674Z</dcterms:created>
  <dcterms:modified xsi:type="dcterms:W3CDTF">2026-07-05T19:55:35.674Z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