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1B3A5C"/>
          <w:sz w:val="40"/>
          <w:szCs w:val="40"/>
        </w:rPr>
        <w:t xml:space="preserve">MEDICAL AI ENABLEMENT PLATFORM</w:t>
      </w:r>
    </w:p>
    <w:p>
      <w:pPr>
        <w:spacing w:after="60"/>
      </w:pPr>
      <w:r>
        <w:rPr>
          <w:rFonts w:ascii="Calibri" w:cs="Calibri" w:eastAsia="Calibri" w:hAnsi="Calibri"/>
          <w:i/>
          <w:iCs/>
          <w:color w:val="0E7C7B"/>
          <w:sz w:val="24"/>
          <w:szCs w:val="24"/>
        </w:rPr>
        <w:t xml:space="preserve">Training, Certification &amp; Support Infrastructure for Medical AI Vendors and Their Deployment Partners</w:t>
      </w:r>
    </w:p>
    <w:p>
      <w:pPr>
        <w:spacing w:after="60" w:line="256"/>
      </w:pPr>
      <w:r>
        <w:rPr>
          <w:rFonts w:ascii="Calibri" w:cs="Calibri" w:eastAsia="Calibri" w:hAnsi="Calibri"/>
          <w:color w:val="555555"/>
          <w:sz w:val="17"/>
          <w:szCs w:val="17"/>
        </w:rPr>
        <w:t xml:space="preserve">Product &amp; Business Strategy Document  |  Prepared for Akram Mohammed  |  July 2026  |  Working title pending trademark search  |  Internal</w:t>
      </w:r>
    </w:p>
    <w:p>
      <w:pPr>
        <w:pBdr>
          <w:bottom w:val="single" w:color="0E7C7B" w:sz="8"/>
        </w:pBdr>
        <w:spacing w:after="110" w:before="260"/>
      </w:pPr>
      <w:r>
        <w:rPr>
          <w:rFonts w:ascii="Calibri" w:cs="Calibri" w:eastAsia="Calibri" w:hAnsi="Calibri"/>
          <w:b/>
          <w:bCs/>
          <w:color w:val="1B3A5C"/>
          <w:sz w:val="27"/>
          <w:szCs w:val="27"/>
        </w:rPr>
        <w:t xml:space="preserve">1. Executive Summary</w:t>
      </w:r>
    </w:p>
    <w:p>
      <w:pPr>
        <w:spacing w:after="90" w:line="256"/>
      </w:pPr>
      <w:r>
        <w:rPr>
          <w:rFonts w:ascii="Calibri" w:cs="Calibri" w:eastAsia="Calibri" w:hAnsi="Calibri"/>
          <w:color w:val="222222"/>
          <w:sz w:val="21"/>
          <w:szCs w:val="21"/>
        </w:rPr>
        <w:t xml:space="preserve">Medical AI companies win deployments faster than they can train the people who must operate them. Every hospital rollout, national screening program, and teleradiology network a vendor signs carries an operator-training and support obligation: radiologists, technicians, nurses, field staff, and administrators must be brought to competency, and — in government and enterprise contracts — that competency must be documented and provable. Today this is delivered through repeated live sessions, scattered documents, and no verifiable record. The result is slow go-lives, heavy support burden, and a compliance gap.</w:t>
      </w:r>
    </w:p>
    <w:p>
      <w:pPr>
        <w:spacing w:after="90" w:line="256"/>
      </w:pPr>
      <w:r>
        <w:rPr>
          <w:rFonts w:ascii="Calibri" w:cs="Calibri" w:eastAsia="Calibri" w:hAnsi="Calibri"/>
          <w:color w:val="222222"/>
          <w:sz w:val="21"/>
          <w:szCs w:val="21"/>
        </w:rPr>
        <w:t xml:space="preserve">This product is a white-label, multi-tenant training, certification, and support platform purpose-built for that gap. A vendor (or its regional deployment partner) gets a branded academy: structured video courses generated from their raw training material by an AI authoring pipeline, quizzes and supervisor-verified practical assessments, expiring certificates with public verification, a multilingual AI support assistant that is hard-scoped to never give clinical guidance, and compliance-grade training records exportable for ministries, hospital groups, and auditors.</w:t>
      </w:r>
    </w:p>
    <w:p>
      <w:pPr>
        <w:spacing w:after="90" w:line="256"/>
      </w:pPr>
      <w:r>
        <w:rPr>
          <w:rFonts w:ascii="Calibri" w:cs="Calibri" w:eastAsia="Calibri" w:hAnsi="Calibri"/>
          <w:color w:val="222222"/>
          <w:sz w:val="21"/>
          <w:szCs w:val="21"/>
        </w:rPr>
        <w:t xml:space="preserve">Strategy in one line: enter as delivery infrastructure for a single vendor's deployment through an existing channel-partner relationship, expand to the vendor's full deployment footprint, then generalize to other medical AI vendors — the same platform serves all three stages without rebuild. Build cost is near-zero cash (AI-agent development on a proven stack, ~$50–250/month infrastructure); revenue is setup fees plus recurring per-program platform fees plus services. The honest risk profile is concentrated in demand (first deals depend on a small number of relationships), not in technology, cost, or legality.</w:t>
      </w:r>
    </w:p>
    <w:p>
      <w:pPr>
        <w:pBdr>
          <w:bottom w:val="single" w:color="0E7C7B" w:sz="8"/>
        </w:pBdr>
        <w:spacing w:after="110" w:before="260"/>
      </w:pPr>
      <w:r>
        <w:rPr>
          <w:rFonts w:ascii="Calibri" w:cs="Calibri" w:eastAsia="Calibri" w:hAnsi="Calibri"/>
          <w:b/>
          <w:bCs/>
          <w:color w:val="1B3A5C"/>
          <w:sz w:val="27"/>
          <w:szCs w:val="27"/>
        </w:rPr>
        <w:t xml:space="preserve">2. The Product</w:t>
      </w:r>
    </w:p>
    <w:p>
      <w:pPr>
        <w:spacing w:after="70" w:before="170"/>
      </w:pPr>
      <w:r>
        <w:rPr>
          <w:rFonts w:ascii="Calibri" w:cs="Calibri" w:eastAsia="Calibri" w:hAnsi="Calibri"/>
          <w:b/>
          <w:bCs/>
          <w:color w:val="0E7C7B"/>
          <w:sz w:val="22"/>
          <w:szCs w:val="22"/>
        </w:rPr>
        <w:t xml:space="preserve">2.1 What it is</w:t>
      </w:r>
    </w:p>
    <w:p>
      <w:pPr>
        <w:spacing w:after="90" w:line="256"/>
      </w:pPr>
      <w:r>
        <w:rPr>
          <w:rFonts w:ascii="Calibri" w:cs="Calibri" w:eastAsia="Calibri" w:hAnsi="Calibri"/>
          <w:color w:val="222222"/>
          <w:sz w:val="21"/>
          <w:szCs w:val="21"/>
        </w:rPr>
        <w:t xml:space="preserve">A two-level multi-tenant SaaS platform. Level 1: the VENDOR (a medical AI company), owning branding, course catalog, and administrators. Level 2: PROGRAMS under each vendor — a national screening program, a hospital network, a country rollout — each with its own cohorts, optional sub-branding, facility tags, and compliance reporting. One vendor with many programs, or many vendors, are both just rows in the same schema. This resolves the single-vendor vs. multi-vendor question structurally: it is a contract decision, not a build decision.</w:t>
      </w:r>
    </w:p>
    <w:p>
      <w:pPr>
        <w:spacing w:after="70" w:before="170"/>
      </w:pPr>
      <w:r>
        <w:rPr>
          <w:rFonts w:ascii="Calibri" w:cs="Calibri" w:eastAsia="Calibri" w:hAnsi="Calibri"/>
          <w:b/>
          <w:bCs/>
          <w:color w:val="0E7C7B"/>
          <w:sz w:val="22"/>
          <w:szCs w:val="22"/>
        </w:rPr>
        <w:t xml:space="preserve">2.2 Core modules</w:t>
      </w:r>
    </w:p>
    <w:p>
      <w:pPr>
        <w:pStyle w:val="ListParagraph"/>
        <w:numPr>
          <w:ilvl w:val="0"/>
          <w:numId w:val="2"/>
        </w:numPr>
        <w:spacing w:after="60" w:line="252"/>
      </w:pPr>
      <w:r>
        <w:rPr>
          <w:rFonts w:ascii="Calibri" w:cs="Calibri" w:eastAsia="Calibri" w:hAnsi="Calibri"/>
          <w:b/>
          <w:bCs/>
          <w:color w:val="222222"/>
          <w:sz w:val="21"/>
          <w:szCs w:val="21"/>
        </w:rPr>
        <w:t xml:space="preserve">Learning core: </w:t>
      </w:r>
      <w:r>
        <w:rPr>
          <w:rFonts w:ascii="Calibri" w:cs="Calibri" w:eastAsia="Calibri" w:hAnsi="Calibri"/>
          <w:color w:val="222222"/>
          <w:sz w:val="21"/>
          <w:szCs w:val="21"/>
        </w:rPr>
        <w:t xml:space="preserve">role-based course tracks (technician, radiologist, physician, administrator), video lessons, step-by-step guides, quizzes with pass thresholds, resume-anywhere progress, low-bandwidth-first design (no autoplay, metadata-only preload, functional even when video fails).</w:t>
      </w:r>
    </w:p>
    <w:p>
      <w:pPr>
        <w:pStyle w:val="ListParagraph"/>
        <w:numPr>
          <w:ilvl w:val="0"/>
          <w:numId w:val="2"/>
        </w:numPr>
        <w:spacing w:after="60" w:line="252"/>
      </w:pPr>
      <w:r>
        <w:rPr>
          <w:rFonts w:ascii="Calibri" w:cs="Calibri" w:eastAsia="Calibri" w:hAnsi="Calibri"/>
          <w:b/>
          <w:bCs/>
          <w:color w:val="222222"/>
          <w:sz w:val="21"/>
          <w:szCs w:val="21"/>
        </w:rPr>
        <w:t xml:space="preserve">AI course-authoring pipeline (key differentiator): </w:t>
      </w:r>
      <w:r>
        <w:rPr>
          <w:rFonts w:ascii="Calibri" w:cs="Calibri" w:eastAsia="Calibri" w:hAnsi="Calibri"/>
          <w:color w:val="222222"/>
          <w:sz w:val="21"/>
          <w:szCs w:val="21"/>
        </w:rPr>
        <w:t xml:space="preserve">vendor uploads raw training recordings; the pipeline transcribes, segments long sessions into module-length lessons, drafts step-by-step content, quiz questions, and knowledge-base entries; a human approves before publishing. This converts the most expensive part of any vendor LMS — content production — from a months-long services project into days, and it is the platform's own delivery-cost advantage.</w:t>
      </w:r>
    </w:p>
    <w:p>
      <w:pPr>
        <w:pStyle w:val="ListParagraph"/>
        <w:numPr>
          <w:ilvl w:val="0"/>
          <w:numId w:val="2"/>
        </w:numPr>
        <w:spacing w:after="60" w:line="252"/>
      </w:pPr>
      <w:r>
        <w:rPr>
          <w:rFonts w:ascii="Calibri" w:cs="Calibri" w:eastAsia="Calibri" w:hAnsi="Calibri"/>
          <w:b/>
          <w:bCs/>
          <w:color w:val="222222"/>
          <w:sz w:val="21"/>
          <w:szCs w:val="21"/>
        </w:rPr>
        <w:t xml:space="preserve">Practical competency assessments: </w:t>
      </w:r>
      <w:r>
        <w:rPr>
          <w:rFonts w:ascii="Calibri" w:cs="Calibri" w:eastAsia="Calibri" w:hAnsi="Calibri"/>
          <w:color w:val="222222"/>
          <w:sz w:val="21"/>
          <w:szCs w:val="21"/>
        </w:rPr>
        <w:t xml:space="preserve">a supervisor checklist lesson type completed on a phone, so certification means watched + tested + observed performing the workflow. Field health programs run on observed competency; generic LMS products do not ship this.</w:t>
      </w:r>
    </w:p>
    <w:p>
      <w:pPr>
        <w:pStyle w:val="ListParagraph"/>
        <w:numPr>
          <w:ilvl w:val="0"/>
          <w:numId w:val="2"/>
        </w:numPr>
        <w:spacing w:after="60" w:line="252"/>
      </w:pPr>
      <w:r>
        <w:rPr>
          <w:rFonts w:ascii="Calibri" w:cs="Calibri" w:eastAsia="Calibri" w:hAnsi="Calibri"/>
          <w:b/>
          <w:bCs/>
          <w:color w:val="222222"/>
          <w:sz w:val="21"/>
          <w:szCs w:val="21"/>
        </w:rPr>
        <w:t xml:space="preserve">Certificates that behave like credentials: </w:t>
      </w:r>
      <w:r>
        <w:rPr>
          <w:rFonts w:ascii="Calibri" w:cs="Calibri" w:eastAsia="Calibri" w:hAnsi="Calibri"/>
          <w:color w:val="222222"/>
          <w:sz w:val="21"/>
          <w:szCs w:val="21"/>
        </w:rPr>
        <w:t xml:space="preserve">unique IDs, QR-coded public verification pages, expiry dates with recertification cycles, and version-linking so a product release can flag affected certificate holders for a delta course. Wording is product competency, never clinical credentialing.</w:t>
      </w:r>
    </w:p>
    <w:p>
      <w:pPr>
        <w:pStyle w:val="ListParagraph"/>
        <w:numPr>
          <w:ilvl w:val="0"/>
          <w:numId w:val="2"/>
        </w:numPr>
        <w:spacing w:after="60" w:line="252"/>
      </w:pPr>
      <w:r>
        <w:rPr>
          <w:rFonts w:ascii="Calibri" w:cs="Calibri" w:eastAsia="Calibri" w:hAnsi="Calibri"/>
          <w:b/>
          <w:bCs/>
          <w:color w:val="222222"/>
          <w:sz w:val="21"/>
          <w:szCs w:val="21"/>
        </w:rPr>
        <w:t xml:space="preserve">AI support assistant: </w:t>
      </w:r>
      <w:r>
        <w:rPr>
          <w:rFonts w:ascii="Calibri" w:cs="Calibri" w:eastAsia="Calibri" w:hAnsi="Calibri"/>
          <w:color w:val="222222"/>
          <w:sz w:val="21"/>
          <w:szCs w:val="21"/>
        </w:rPr>
        <w:t xml:space="preserve">answers course, signup, navigation, and platform questions grounded in the tenant's own content; replies in the user's language; deep-links to lessons; and is hard-scoped to refuse all clinical or diagnostic questions — a non-negotiable rule for serving regulated medical device vendors. Any model configured for a tenant must pass a certification test set (including the clinical refusal and each supported language) before activation.</w:t>
      </w:r>
    </w:p>
    <w:p>
      <w:pPr>
        <w:pStyle w:val="ListParagraph"/>
        <w:numPr>
          <w:ilvl w:val="0"/>
          <w:numId w:val="2"/>
        </w:numPr>
        <w:spacing w:after="60" w:line="252"/>
      </w:pPr>
      <w:r>
        <w:rPr>
          <w:rFonts w:ascii="Calibri" w:cs="Calibri" w:eastAsia="Calibri" w:hAnsi="Calibri"/>
          <w:b/>
          <w:bCs/>
          <w:color w:val="222222"/>
          <w:sz w:val="21"/>
          <w:szCs w:val="21"/>
        </w:rPr>
        <w:t xml:space="preserve">Admin, analytics &amp; compliance: </w:t>
      </w:r>
      <w:r>
        <w:rPr>
          <w:rFonts w:ascii="Calibri" w:cs="Calibri" w:eastAsia="Calibri" w:hAnsi="Calibri"/>
          <w:color w:val="222222"/>
          <w:sz w:val="21"/>
          <w:szCs w:val="21"/>
        </w:rPr>
        <w:t xml:space="preserve">enrollment and completion dashboards per program and facility, quiz-failure hotspots (which double as product-UX feedback for the vendor), exportable training records for contract and ministry compliance, and audit-friendly logs.</w:t>
      </w:r>
    </w:p>
    <w:p>
      <w:pPr>
        <w:pStyle w:val="ListParagraph"/>
        <w:numPr>
          <w:ilvl w:val="0"/>
          <w:numId w:val="2"/>
        </w:numPr>
        <w:spacing w:after="60" w:line="252"/>
      </w:pPr>
      <w:r>
        <w:rPr>
          <w:rFonts w:ascii="Calibri" w:cs="Calibri" w:eastAsia="Calibri" w:hAnsi="Calibri"/>
          <w:b/>
          <w:bCs/>
          <w:color w:val="222222"/>
          <w:sz w:val="21"/>
          <w:szCs w:val="21"/>
        </w:rPr>
        <w:t xml:space="preserve">Self-measuring ROI: </w:t>
      </w:r>
      <w:r>
        <w:rPr>
          <w:rFonts w:ascii="Calibri" w:cs="Calibri" w:eastAsia="Calibri" w:hAnsi="Calibri"/>
          <w:color w:val="222222"/>
          <w:sz w:val="21"/>
          <w:szCs w:val="21"/>
        </w:rPr>
        <w:t xml:space="preserve">the platform instruments its own value from day one — time-to-competency, completion rates, support-ticket reduction after self-serve onboarding, and cross-program benchmarks. These metrics are the renewal and expansion argument, turning every deployment into its own business case.</w:t>
      </w:r>
    </w:p>
    <w:p>
      <w:pPr>
        <w:pStyle w:val="ListParagraph"/>
        <w:numPr>
          <w:ilvl w:val="0"/>
          <w:numId w:val="2"/>
        </w:numPr>
        <w:spacing w:after="60" w:line="252"/>
      </w:pPr>
      <w:r>
        <w:rPr>
          <w:rFonts w:ascii="Calibri" w:cs="Calibri" w:eastAsia="Calibri" w:hAnsi="Calibri"/>
          <w:b/>
          <w:bCs/>
          <w:color w:val="222222"/>
          <w:sz w:val="21"/>
          <w:szCs w:val="21"/>
        </w:rPr>
        <w:t xml:space="preserve">Provider-agnostic AI layer: </w:t>
      </w:r>
      <w:r>
        <w:rPr>
          <w:rFonts w:ascii="Calibri" w:cs="Calibri" w:eastAsia="Calibri" w:hAnsi="Calibri"/>
          <w:color w:val="222222"/>
          <w:sz w:val="21"/>
          <w:szCs w:val="21"/>
        </w:rPr>
        <w:t xml:space="preserve">all model calls go through an abstraction so LLM provider, model, and hosting region are per-tenant configuration (direct API, AWS Bedrock, Azure, Vertex, or tenant BYOK) — supporting data-residency and procurement constraints per country.</w:t>
      </w:r>
    </w:p>
    <w:p>
      <w:pPr>
        <w:spacing w:after="70" w:before="170"/>
      </w:pPr>
      <w:r>
        <w:rPr>
          <w:rFonts w:ascii="Calibri" w:cs="Calibri" w:eastAsia="Calibri" w:hAnsi="Calibri"/>
          <w:b/>
          <w:bCs/>
          <w:color w:val="0E7C7B"/>
          <w:sz w:val="22"/>
          <w:szCs w:val="22"/>
        </w:rPr>
        <w:t xml:space="preserve">2.3 Technology &amp; why it holds up</w:t>
      </w:r>
    </w:p>
    <w:p>
      <w:pPr>
        <w:spacing w:after="90" w:line="256"/>
      </w:pPr>
      <w:r>
        <w:rPr>
          <w:rFonts w:ascii="Calibri" w:cs="Calibri" w:eastAsia="Calibri" w:hAnsi="Calibri"/>
          <w:color w:val="222222"/>
          <w:sz w:val="21"/>
          <w:szCs w:val="21"/>
        </w:rPr>
        <w:t xml:space="preserve">Next.js + TypeScript + Tailwind + Supabase (Postgres with row-level security, auth, storage) on Vercel — a stack already proven in the founder's production builds, giving ~90% pattern reuse. Tenant isolation is enforced at the database layer (RLS), the correct primitive for multi-tenancy. LMS workloads are read-heavy and gentle; the one known scaling cost is video egress, with a planned migration to zero-egress object storage/CDN at volume. Roadmap: PWA installation and offline module caching for field environments (app-store listings remain a customer-driven checkbox via PWA wrapping, never a distribution strategy — B2B training distributes by URL and login, not store discovery), WhatsApp notifications for completion and expiry nudges, SSO/SCORM for enterprise buyers, and a train-the-trainer cohort tier.</w:t>
      </w:r>
    </w:p>
    <w:p>
      <w:pPr>
        <w:pBdr>
          <w:bottom w:val="single" w:color="0E7C7B" w:sz="8"/>
        </w:pBdr>
        <w:spacing w:after="110" w:before="260"/>
      </w:pPr>
      <w:r>
        <w:rPr>
          <w:rFonts w:ascii="Calibri" w:cs="Calibri" w:eastAsia="Calibri" w:hAnsi="Calibri"/>
          <w:b/>
          <w:bCs/>
          <w:color w:val="1B3A5C"/>
          <w:sz w:val="27"/>
          <w:szCs w:val="27"/>
        </w:rPr>
        <w:t xml:space="preserve">3. Who It Serves and How It Helps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300"/>
        <w:gridCol w:w="3700"/>
        <w:gridCol w:w="3360"/>
      </w:tblGrid>
      <w:tr>
        <w:tc>
          <w:tcPr>
            <w:tcW w:type="dxa" w:w="2300"/>
            <w:shd w:fill="1B3A5C" w:val="clear"/>
            <w:tcMar>
              <w:top w:type="dxa" w:w="55"/>
              <w:left w:type="dxa" w:w="100"/>
              <w:bottom w:type="dxa" w:w="55"/>
              <w:right w:type="dxa" w:w="100"/>
            </w:tcMar>
          </w:tcPr>
          <w:p>
            <w:pPr>
              <w:spacing w:after="0" w:line="244"/>
            </w:pPr>
            <w:r>
              <w:rPr>
                <w:rFonts w:ascii="Calibri" w:cs="Calibri" w:eastAsia="Calibri" w:hAnsi="Calibri"/>
                <w:b/>
                <w:bCs/>
                <w:color w:val="FFFFFF"/>
                <w:sz w:val="18"/>
                <w:szCs w:val="18"/>
              </w:rPr>
              <w:t xml:space="preserve">Stakeholder</w:t>
            </w:r>
          </w:p>
        </w:tc>
        <w:tc>
          <w:tcPr>
            <w:tcW w:type="dxa" w:w="3700"/>
            <w:shd w:fill="1B3A5C" w:val="clear"/>
            <w:tcMar>
              <w:top w:type="dxa" w:w="55"/>
              <w:left w:type="dxa" w:w="100"/>
              <w:bottom w:type="dxa" w:w="55"/>
              <w:right w:type="dxa" w:w="100"/>
            </w:tcMar>
          </w:tcPr>
          <w:p>
            <w:pPr>
              <w:spacing w:after="0" w:line="244"/>
            </w:pPr>
            <w:r>
              <w:rPr>
                <w:rFonts w:ascii="Calibri" w:cs="Calibri" w:eastAsia="Calibri" w:hAnsi="Calibri"/>
                <w:b/>
                <w:bCs/>
                <w:color w:val="FFFFFF"/>
                <w:sz w:val="18"/>
                <w:szCs w:val="18"/>
              </w:rPr>
              <w:t xml:space="preserve">Pain today</w:t>
            </w:r>
          </w:p>
        </w:tc>
        <w:tc>
          <w:tcPr>
            <w:tcW w:type="dxa" w:w="3360"/>
            <w:shd w:fill="1B3A5C" w:val="clear"/>
            <w:tcMar>
              <w:top w:type="dxa" w:w="55"/>
              <w:left w:type="dxa" w:w="100"/>
              <w:bottom w:type="dxa" w:w="55"/>
              <w:right w:type="dxa" w:w="100"/>
            </w:tcMar>
          </w:tcPr>
          <w:p>
            <w:pPr>
              <w:spacing w:after="0" w:line="244"/>
            </w:pPr>
            <w:r>
              <w:rPr>
                <w:rFonts w:ascii="Calibri" w:cs="Calibri" w:eastAsia="Calibri" w:hAnsi="Calibri"/>
                <w:b/>
                <w:bCs/>
                <w:color w:val="FFFFFF"/>
                <w:sz w:val="18"/>
                <w:szCs w:val="18"/>
              </w:rPr>
              <w:t xml:space="preserve">What the platform delivers</w:t>
            </w:r>
          </w:p>
        </w:tc>
      </w:tr>
      <w:tr>
        <w:tc>
          <w:tcPr>
            <w:tcW w:type="dxa" w:w="23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Medical AI vendor</w:t>
            </w:r>
          </w:p>
        </w:tc>
        <w:tc>
          <w:tcPr>
            <w:tcW w:type="dxa" w:w="37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Training obligations in every deal; repeated live sessions; slow go-lives; no proof of competency at scale</w:t>
            </w:r>
          </w:p>
        </w:tc>
        <w:tc>
          <w:tcPr>
            <w:tcW w:type="dxa" w:w="33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Branded academy; faster deployments; documented operator competency attached to every contract; certification ecosystem (Trailhead/Epic model) that deepens lock-in</w:t>
            </w:r>
          </w:p>
        </w:tc>
      </w:tr>
      <w:tr>
        <w:tc>
          <w:tcPr>
            <w:tcW w:type="dxa" w:w="23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Regional deployment / channel partner</w:t>
            </w:r>
          </w:p>
        </w:tc>
        <w:tc>
          <w:tcPr>
            <w:tcW w:type="dxa" w:w="37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Owns local enablement and L1 support for national rollouts with a small team</w:t>
            </w:r>
          </w:p>
        </w:tc>
        <w:tc>
          <w:tcPr>
            <w:tcW w:type="dxa" w:w="33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Self-serve onboarding cuts support burden; national-scale training without flying trainers; compliance reports to the health authority</w:t>
            </w:r>
          </w:p>
        </w:tc>
      </w:tr>
      <w:tr>
        <w:tc>
          <w:tcPr>
            <w:tcW w:type="dxa" w:w="23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Government / hospital buyer</w:t>
            </w:r>
          </w:p>
        </w:tc>
        <w:tc>
          <w:tcPr>
            <w:tcW w:type="dxa" w:w="37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Must evidence workforce readiness; staff churn erodes competency</w:t>
            </w:r>
          </w:p>
        </w:tc>
        <w:tc>
          <w:tcPr>
            <w:tcW w:type="dxa" w:w="33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Verifiable certificates, expiry-driven recertification, facility-level dashboards, exportable training records</w:t>
            </w:r>
          </w:p>
        </w:tc>
      </w:tr>
      <w:tr>
        <w:tc>
          <w:tcPr>
            <w:tcW w:type="dxa" w:w="23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Frontline staff (technicians, nurses, radiologists, admins)</w:t>
            </w:r>
          </w:p>
        </w:tc>
        <w:tc>
          <w:tcPr>
            <w:tcW w:type="dxa" w:w="37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Scarce time; remote sites; weak connectivity; training in one-off sessions</w:t>
            </w:r>
          </w:p>
        </w:tc>
        <w:tc>
          <w:tcPr>
            <w:tcW w:type="dxa" w:w="33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Self-paced role-based tracks on any device, built for low bandwidth, with an assistant answering questions in their language</w:t>
            </w:r>
          </w:p>
        </w:tc>
      </w:tr>
    </w:tbl>
    <w:p>
      <w:pPr>
        <w:spacing w:after="60"/>
      </w:pPr>
    </w:p>
    <w:p>
      <w:pPr>
        <w:spacing w:after="90" w:line="256"/>
      </w:pPr>
      <w:r>
        <w:rPr>
          <w:rFonts w:ascii="Calibri" w:cs="Calibri" w:eastAsia="Calibri" w:hAnsi="Calibri"/>
          <w:i/>
          <w:iCs/>
          <w:color w:val="555555"/>
          <w:sz w:val="19"/>
          <w:szCs w:val="19"/>
        </w:rPr>
        <w:t xml:space="preserve">The wedge customer is the deployment partner: partners contractually inherit enablement and first-line support for rollouts, and a platform is the only way a small partner delivers that at national scale. The vendor is the expansion customer; other vendors are the market.</w:t>
      </w:r>
    </w:p>
    <w:p>
      <w:pPr>
        <w:pBdr>
          <w:bottom w:val="single" w:color="0E7C7B" w:sz="8"/>
        </w:pBdr>
        <w:spacing w:after="110" w:before="260"/>
      </w:pPr>
      <w:r>
        <w:rPr>
          <w:rFonts w:ascii="Calibri" w:cs="Calibri" w:eastAsia="Calibri" w:hAnsi="Calibri"/>
          <w:b/>
          <w:bCs/>
          <w:color w:val="1B3A5C"/>
          <w:sz w:val="27"/>
          <w:szCs w:val="27"/>
        </w:rPr>
        <w:t xml:space="preserve">4. Demand Analysis — Why Now</w:t>
      </w:r>
    </w:p>
    <w:p>
      <w:pPr>
        <w:pStyle w:val="ListParagraph"/>
        <w:numPr>
          <w:ilvl w:val="0"/>
          <w:numId w:val="2"/>
        </w:numPr>
        <w:spacing w:after="60" w:line="252"/>
      </w:pPr>
      <w:r>
        <w:rPr>
          <w:rFonts w:ascii="Calibri" w:cs="Calibri" w:eastAsia="Calibri" w:hAnsi="Calibri"/>
          <w:b/>
          <w:bCs/>
          <w:color w:val="222222"/>
          <w:sz w:val="21"/>
          <w:szCs w:val="21"/>
        </w:rPr>
        <w:t xml:space="preserve">The market is real and growing, with honest error bars. </w:t>
      </w:r>
      <w:r>
        <w:rPr>
          <w:rFonts w:ascii="Calibri" w:cs="Calibri" w:eastAsia="Calibri" w:hAnsi="Calibri"/>
          <w:color w:val="222222"/>
          <w:sz w:val="21"/>
          <w:szCs w:val="21"/>
        </w:rPr>
        <w:t xml:space="preserve">Analyst estimates of the healthcare LMS market vary by scope, from roughly $1.9B (2025, Business Research Company) to ~$3.2–3.8B (2025, MarketData Forecast / Vantage), with forecast CAGRs of 9–25%. Even the conservative floor supports a niche vertical platform; this document deliberately does not cherry-pick the largest estimate.</w:t>
      </w:r>
    </w:p>
    <w:p>
      <w:pPr>
        <w:pStyle w:val="ListParagraph"/>
        <w:numPr>
          <w:ilvl w:val="0"/>
          <w:numId w:val="2"/>
        </w:numPr>
        <w:spacing w:after="60" w:line="252"/>
      </w:pPr>
      <w:r>
        <w:rPr>
          <w:rFonts w:ascii="Calibri" w:cs="Calibri" w:eastAsia="Calibri" w:hAnsi="Calibri"/>
          <w:b/>
          <w:bCs/>
          <w:color w:val="222222"/>
          <w:sz w:val="21"/>
          <w:szCs w:val="21"/>
        </w:rPr>
        <w:t xml:space="preserve">Medical AI adoption is compounding the training problem. </w:t>
      </w:r>
      <w:r>
        <w:rPr>
          <w:rFonts w:ascii="Calibri" w:cs="Calibri" w:eastAsia="Calibri" w:hAnsi="Calibri"/>
          <w:color w:val="222222"/>
          <w:sz w:val="21"/>
          <w:szCs w:val="21"/>
        </w:rPr>
        <w:t xml:space="preserve">AI-assisted radiology has moved from pilots to national platforms and public-health screening programs (e.g., WHO's policy guidance recommending computer-aided detection software for TB screening has driven government CXR-AI programs across Asia and Africa). Every one of those deployments must train non-specialist operators — the exact user this platform serves.</w:t>
      </w:r>
    </w:p>
    <w:p>
      <w:pPr>
        <w:pStyle w:val="ListParagraph"/>
        <w:numPr>
          <w:ilvl w:val="0"/>
          <w:numId w:val="2"/>
        </w:numPr>
        <w:spacing w:after="60" w:line="252"/>
      </w:pPr>
      <w:r>
        <w:rPr>
          <w:rFonts w:ascii="Calibri" w:cs="Calibri" w:eastAsia="Calibri" w:hAnsi="Calibri"/>
          <w:b/>
          <w:bCs/>
          <w:color w:val="222222"/>
          <w:sz w:val="21"/>
          <w:szCs w:val="21"/>
        </w:rPr>
        <w:t xml:space="preserve">Regulation now mandates AI workforce readiness. </w:t>
      </w:r>
      <w:r>
        <w:rPr>
          <w:rFonts w:ascii="Calibri" w:cs="Calibri" w:eastAsia="Calibri" w:hAnsi="Calibri"/>
          <w:color w:val="222222"/>
          <w:sz w:val="21"/>
          <w:szCs w:val="21"/>
        </w:rPr>
        <w:t xml:space="preserve">The EU AI Act's AI-literacy obligation (Article 4, applicable since February 2025) requires providers and deployers of AI systems to ensure staff have adequate AI competence — and documented training is the standard way deployers evidence obligations of this kind. Comparable duties are emerging in other jurisdictions. Certification and training records shift from nice-to-have to compliance artifact.</w:t>
      </w:r>
    </w:p>
    <w:p>
      <w:pPr>
        <w:pStyle w:val="ListParagraph"/>
        <w:numPr>
          <w:ilvl w:val="0"/>
          <w:numId w:val="2"/>
        </w:numPr>
        <w:spacing w:after="60" w:line="252"/>
      </w:pPr>
      <w:r>
        <w:rPr>
          <w:rFonts w:ascii="Calibri" w:cs="Calibri" w:eastAsia="Calibri" w:hAnsi="Calibri"/>
          <w:b/>
          <w:bCs/>
          <w:color w:val="222222"/>
          <w:sz w:val="21"/>
          <w:szCs w:val="21"/>
        </w:rPr>
        <w:t xml:space="preserve">Vendor precedent proves the category. </w:t>
      </w:r>
      <w:r>
        <w:rPr>
          <w:rFonts w:ascii="Calibri" w:cs="Calibri" w:eastAsia="Calibri" w:hAnsi="Calibri"/>
          <w:color w:val="222222"/>
          <w:sz w:val="21"/>
          <w:szCs w:val="21"/>
        </w:rPr>
        <w:t xml:space="preserve">Salesforce Trailhead and Epic's credentialing programs demonstrate that vendor product certification creates ecosystem lock-in and is treated as core infrastructure, not an afterthought. Medical AI vendors — mid-sized, deal-heavy, training-obligated — have the same need and almost none have built it.</w:t>
      </w:r>
    </w:p>
    <w:p>
      <w:pPr>
        <w:pStyle w:val="ListParagraph"/>
        <w:numPr>
          <w:ilvl w:val="0"/>
          <w:numId w:val="2"/>
        </w:numPr>
        <w:spacing w:after="60" w:line="252"/>
      </w:pPr>
      <w:r>
        <w:rPr>
          <w:rFonts w:ascii="Calibri" w:cs="Calibri" w:eastAsia="Calibri" w:hAnsi="Calibri"/>
          <w:b/>
          <w:bCs/>
          <w:color w:val="222222"/>
          <w:sz w:val="21"/>
          <w:szCs w:val="21"/>
        </w:rPr>
        <w:t xml:space="preserve">Structural workforce scarcity. </w:t>
      </w:r>
      <w:r>
        <w:rPr>
          <w:rFonts w:ascii="Calibri" w:cs="Calibri" w:eastAsia="Calibri" w:hAnsi="Calibri"/>
          <w:color w:val="222222"/>
          <w:sz w:val="21"/>
          <w:szCs w:val="21"/>
        </w:rPr>
        <w:t xml:space="preserve">The global radiologist shortage (a small fraction of the specialist density of developed economies across much of the Global South) means every trained operator is scarce and cannot be repeatedly pulled into classrooms; self-paced certified training is the only model that scales in exactly the markets where medical AI is expanding fastest.</w:t>
      </w:r>
    </w:p>
    <w:p>
      <w:pPr>
        <w:pBdr>
          <w:bottom w:val="single" w:color="0E7C7B" w:sz="8"/>
        </w:pBdr>
        <w:spacing w:after="110" w:before="260"/>
      </w:pPr>
      <w:r>
        <w:rPr>
          <w:rFonts w:ascii="Calibri" w:cs="Calibri" w:eastAsia="Calibri" w:hAnsi="Calibri"/>
          <w:b/>
          <w:bCs/>
          <w:color w:val="1B3A5C"/>
          <w:sz w:val="27"/>
          <w:szCs w:val="27"/>
        </w:rPr>
        <w:t xml:space="preserve">5. Competition &amp; Market Position</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500"/>
        <w:gridCol w:w="3500"/>
        <w:gridCol w:w="3360"/>
      </w:tblGrid>
      <w:tr>
        <w:tc>
          <w:tcPr>
            <w:tcW w:type="dxa" w:w="2500"/>
            <w:shd w:fill="1B3A5C" w:val="clear"/>
            <w:tcMar>
              <w:top w:type="dxa" w:w="55"/>
              <w:left w:type="dxa" w:w="100"/>
              <w:bottom w:type="dxa" w:w="55"/>
              <w:right w:type="dxa" w:w="100"/>
            </w:tcMar>
          </w:tcPr>
          <w:p>
            <w:pPr>
              <w:spacing w:after="0" w:line="244"/>
            </w:pPr>
            <w:r>
              <w:rPr>
                <w:rFonts w:ascii="Calibri" w:cs="Calibri" w:eastAsia="Calibri" w:hAnsi="Calibri"/>
                <w:b/>
                <w:bCs/>
                <w:color w:val="FFFFFF"/>
                <w:sz w:val="18"/>
                <w:szCs w:val="18"/>
              </w:rPr>
              <w:t xml:space="preserve">Category</w:t>
            </w:r>
          </w:p>
        </w:tc>
        <w:tc>
          <w:tcPr>
            <w:tcW w:type="dxa" w:w="3500"/>
            <w:shd w:fill="1B3A5C" w:val="clear"/>
            <w:tcMar>
              <w:top w:type="dxa" w:w="55"/>
              <w:left w:type="dxa" w:w="100"/>
              <w:bottom w:type="dxa" w:w="55"/>
              <w:right w:type="dxa" w:w="100"/>
            </w:tcMar>
          </w:tcPr>
          <w:p>
            <w:pPr>
              <w:spacing w:after="0" w:line="244"/>
            </w:pPr>
            <w:r>
              <w:rPr>
                <w:rFonts w:ascii="Calibri" w:cs="Calibri" w:eastAsia="Calibri" w:hAnsi="Calibri"/>
                <w:b/>
                <w:bCs/>
                <w:color w:val="FFFFFF"/>
                <w:sz w:val="18"/>
                <w:szCs w:val="18"/>
              </w:rPr>
              <w:t xml:space="preserve">Examples</w:t>
            </w:r>
          </w:p>
        </w:tc>
        <w:tc>
          <w:tcPr>
            <w:tcW w:type="dxa" w:w="3360"/>
            <w:shd w:fill="1B3A5C" w:val="clear"/>
            <w:tcMar>
              <w:top w:type="dxa" w:w="55"/>
              <w:left w:type="dxa" w:w="100"/>
              <w:bottom w:type="dxa" w:w="55"/>
              <w:right w:type="dxa" w:w="100"/>
            </w:tcMar>
          </w:tcPr>
          <w:p>
            <w:pPr>
              <w:spacing w:after="0" w:line="244"/>
            </w:pPr>
            <w:r>
              <w:rPr>
                <w:rFonts w:ascii="Calibri" w:cs="Calibri" w:eastAsia="Calibri" w:hAnsi="Calibri"/>
                <w:b/>
                <w:bCs/>
                <w:color w:val="FFFFFF"/>
                <w:sz w:val="18"/>
                <w:szCs w:val="18"/>
              </w:rPr>
              <w:t xml:space="preserve">Honest assessment</w:t>
            </w:r>
          </w:p>
        </w:tc>
      </w:tr>
      <w:tr>
        <w:tc>
          <w:tcPr>
            <w:tcW w:type="dxa" w:w="25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Generic corporate LMS</w:t>
            </w:r>
          </w:p>
        </w:tc>
        <w:tc>
          <w:tcPr>
            <w:tcW w:type="dxa" w:w="35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TalentLMS, Docebo, Absorb, 360Learning</w:t>
            </w:r>
          </w:p>
        </w:tc>
        <w:tc>
          <w:tcPr>
            <w:tcW w:type="dxa" w:w="33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Cheap ($100–600+/mo) and mature. But horizontal: no practical assessments, no per-model AI guardrail certification, no compliance exports shaped for health ministries, no offline field design, and the customer still does all content work. Real risk is a buyer defaulting here — countered by the done-for-you service layer.</w:t>
            </w:r>
          </w:p>
        </w:tc>
      </w:tr>
      <w:tr>
        <w:tc>
          <w:tcPr>
            <w:tcW w:type="dxa" w:w="25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Healthcare LMS incumbents</w:t>
            </w:r>
          </w:p>
        </w:tc>
        <w:tc>
          <w:tcPr>
            <w:tcW w:type="dxa" w:w="35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HealthStream, Relias</w:t>
            </w:r>
          </w:p>
        </w:tc>
        <w:tc>
          <w:tcPr>
            <w:tcW w:type="dxa" w:w="33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Strong, but built for US hospital compliance/CE credits — a different buyer (hospital HR) and problem. They do not serve AI vendors deploying into emerging-market programs.</w:t>
            </w:r>
          </w:p>
        </w:tc>
      </w:tr>
      <w:tr>
        <w:tc>
          <w:tcPr>
            <w:tcW w:type="dxa" w:w="25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Customer-education platforms</w:t>
            </w:r>
          </w:p>
        </w:tc>
        <w:tc>
          <w:tcPr>
            <w:tcW w:type="dxa" w:w="35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Skilljar, Thought Industries, WorkRamp</w:t>
            </w:r>
          </w:p>
        </w:tc>
        <w:tc>
          <w:tcPr>
            <w:tcW w:type="dxa" w:w="33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Closest structural competitors (vendor-branded product training). Priced for mid-market+ SaaS, US-centric, no medical-AI vertical features (clinical-refusal AI assistant, supervisor assessments, ministry reporting, low-bandwidth field mode). The gap this product occupies is the vertical between them and healthcare LMS.</w:t>
            </w:r>
          </w:p>
        </w:tc>
      </w:tr>
      <w:tr>
        <w:tc>
          <w:tcPr>
            <w:tcW w:type="dxa" w:w="25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Open source</w:t>
            </w:r>
          </w:p>
        </w:tc>
        <w:tc>
          <w:tcPr>
            <w:tcW w:type="dxa" w:w="35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Moodle, Open edX</w:t>
            </w:r>
          </w:p>
        </w:tc>
        <w:tc>
          <w:tcPr>
            <w:tcW w:type="dxa" w:w="33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Free but operationally heavy and dated UX; customizing to this spec costs more than building thin and modern. Viable for a buyer with an IT team and patience — which deployment partners typically lack.</w:t>
            </w:r>
          </w:p>
        </w:tc>
      </w:tr>
      <w:tr>
        <w:tc>
          <w:tcPr>
            <w:tcW w:type="dxa" w:w="25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Internal build by the vendor</w:t>
            </w:r>
          </w:p>
        </w:tc>
        <w:tc>
          <w:tcPr>
            <w:tcW w:type="dxa" w:w="35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Vendor engineering teams</w:t>
            </w:r>
          </w:p>
        </w:tc>
        <w:tc>
          <w:tcPr>
            <w:tcW w:type="dxa" w:w="33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Always possible. Counter: their engineers are consumed by regulated product work (the reason the gap exists); speed, service, and neutrality across future vendors are the defenses.</w:t>
            </w:r>
          </w:p>
        </w:tc>
      </w:tr>
    </w:tbl>
    <w:p>
      <w:pPr>
        <w:spacing w:after="60"/>
      </w:pPr>
    </w:p>
    <w:p>
      <w:pPr>
        <w:spacing w:after="90" w:line="256"/>
      </w:pPr>
      <w:r>
        <w:rPr>
          <w:rFonts w:ascii="Calibri" w:cs="Calibri" w:eastAsia="Calibri" w:hAnsi="Calibri"/>
          <w:color w:val="222222"/>
          <w:sz w:val="21"/>
          <w:szCs w:val="21"/>
        </w:rPr>
        <w:t xml:space="preserve">Positioning: “the enablement and certification layer for medical AI deployments” — narrower than every incumbent, which is the point. Verticalization is the moat generic platforms cannot cheaply follow, and the AI authoring pipeline is the cost advantage none of them ship today.</w:t>
      </w:r>
    </w:p>
    <w:p>
      <w:pPr>
        <w:pBdr>
          <w:bottom w:val="single" w:color="0E7C7B" w:sz="8"/>
        </w:pBdr>
        <w:spacing w:after="110" w:before="260"/>
      </w:pPr>
      <w:r>
        <w:rPr>
          <w:rFonts w:ascii="Calibri" w:cs="Calibri" w:eastAsia="Calibri" w:hAnsi="Calibri"/>
          <w:b/>
          <w:bCs/>
          <w:color w:val="1B3A5C"/>
          <w:sz w:val="27"/>
          <w:szCs w:val="27"/>
        </w:rPr>
        <w:t xml:space="preserve">6. Business Model &amp; Revenue — All Angles</w:t>
      </w:r>
    </w:p>
    <w:p>
      <w:pPr>
        <w:spacing w:after="70" w:before="170"/>
      </w:pPr>
      <w:r>
        <w:rPr>
          <w:rFonts w:ascii="Calibri" w:cs="Calibri" w:eastAsia="Calibri" w:hAnsi="Calibri"/>
          <w:b/>
          <w:bCs/>
          <w:color w:val="0E7C7B"/>
          <w:sz w:val="22"/>
          <w:szCs w:val="22"/>
        </w:rPr>
        <w:t xml:space="preserve">6.1 Revenue streams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900"/>
        <w:gridCol w:w="4200"/>
        <w:gridCol w:w="2260"/>
      </w:tblGrid>
      <w:tr>
        <w:tc>
          <w:tcPr>
            <w:tcW w:type="dxa" w:w="2900"/>
            <w:shd w:fill="1B3A5C" w:val="clear"/>
            <w:tcMar>
              <w:top w:type="dxa" w:w="55"/>
              <w:left w:type="dxa" w:w="100"/>
              <w:bottom w:type="dxa" w:w="55"/>
              <w:right w:type="dxa" w:w="100"/>
            </w:tcMar>
          </w:tcPr>
          <w:p>
            <w:pPr>
              <w:spacing w:after="0" w:line="244"/>
            </w:pPr>
            <w:r>
              <w:rPr>
                <w:rFonts w:ascii="Calibri" w:cs="Calibri" w:eastAsia="Calibri" w:hAnsi="Calibri"/>
                <w:b/>
                <w:bCs/>
                <w:color w:val="FFFFFF"/>
                <w:sz w:val="18"/>
                <w:szCs w:val="18"/>
              </w:rPr>
              <w:t xml:space="preserve">Stream</w:t>
            </w:r>
          </w:p>
        </w:tc>
        <w:tc>
          <w:tcPr>
            <w:tcW w:type="dxa" w:w="4200"/>
            <w:shd w:fill="1B3A5C" w:val="clear"/>
            <w:tcMar>
              <w:top w:type="dxa" w:w="55"/>
              <w:left w:type="dxa" w:w="100"/>
              <w:bottom w:type="dxa" w:w="55"/>
              <w:right w:type="dxa" w:w="100"/>
            </w:tcMar>
          </w:tcPr>
          <w:p>
            <w:pPr>
              <w:spacing w:after="0" w:line="244"/>
            </w:pPr>
            <w:r>
              <w:rPr>
                <w:rFonts w:ascii="Calibri" w:cs="Calibri" w:eastAsia="Calibri" w:hAnsi="Calibri"/>
                <w:b/>
                <w:bCs/>
                <w:color w:val="FFFFFF"/>
                <w:sz w:val="18"/>
                <w:szCs w:val="18"/>
              </w:rPr>
              <w:t xml:space="preserve">Description</w:t>
            </w:r>
          </w:p>
        </w:tc>
        <w:tc>
          <w:tcPr>
            <w:tcW w:type="dxa" w:w="2260"/>
            <w:shd w:fill="1B3A5C" w:val="clear"/>
            <w:tcMar>
              <w:top w:type="dxa" w:w="55"/>
              <w:left w:type="dxa" w:w="100"/>
              <w:bottom w:type="dxa" w:w="55"/>
              <w:right w:type="dxa" w:w="100"/>
            </w:tcMar>
          </w:tcPr>
          <w:p>
            <w:pPr>
              <w:spacing w:after="0" w:line="244"/>
            </w:pPr>
            <w:r>
              <w:rPr>
                <w:rFonts w:ascii="Calibri" w:cs="Calibri" w:eastAsia="Calibri" w:hAnsi="Calibri"/>
                <w:b/>
                <w:bCs/>
                <w:color w:val="FFFFFF"/>
                <w:sz w:val="18"/>
                <w:szCs w:val="18"/>
              </w:rPr>
              <w:t xml:space="preserve">Indicative pricing*</w:t>
            </w:r>
          </w:p>
        </w:tc>
      </w:tr>
      <w:tr>
        <w:tc>
          <w:tcPr>
            <w:tcW w:type="dxa" w:w="29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Deployment setup fee</w:t>
            </w:r>
          </w:p>
        </w:tc>
        <w:tc>
          <w:tcPr>
            <w:tcW w:type="dxa" w:w="42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Platform setup, branding, initial course production per vendor or program</w:t>
            </w:r>
          </w:p>
        </w:tc>
        <w:tc>
          <w:tcPr>
            <w:tcW w:type="dxa" w:w="22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$15–30K one-time</w:t>
            </w:r>
          </w:p>
        </w:tc>
      </w:tr>
      <w:tr>
        <w:tc>
          <w:tcPr>
            <w:tcW w:type="dxa" w:w="29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Platform subscription</w:t>
            </w:r>
          </w:p>
        </w:tc>
        <w:tc>
          <w:tcPr>
            <w:tcW w:type="dxa" w:w="42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Per program (not per seat — fits unlimited-user culture in this space)</w:t>
            </w:r>
          </w:p>
        </w:tc>
        <w:tc>
          <w:tcPr>
            <w:tcW w:type="dxa" w:w="22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$1–3K / program / month</w:t>
            </w:r>
          </w:p>
        </w:tc>
      </w:tr>
      <w:tr>
        <w:tc>
          <w:tcPr>
            <w:tcW w:type="dxa" w:w="29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Content production service</w:t>
            </w:r>
          </w:p>
        </w:tc>
        <w:tc>
          <w:tcPr>
            <w:tcW w:type="dxa" w:w="42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AI-pipeline conversion of raw vendor material into courses, human-reviewed</w:t>
            </w:r>
          </w:p>
        </w:tc>
        <w:tc>
          <w:tcPr>
            <w:tcW w:type="dxa" w:w="22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$2–5K / course</w:t>
            </w:r>
          </w:p>
        </w:tc>
      </w:tr>
      <w:tr>
        <w:tc>
          <w:tcPr>
            <w:tcW w:type="dxa" w:w="29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Vendor exclusivity premium</w:t>
            </w:r>
          </w:p>
        </w:tc>
        <w:tc>
          <w:tcPr>
            <w:tcW w:type="dxa" w:w="42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Time-boxed category exclusivity if a vendor demands it (never IP transfer)</w:t>
            </w:r>
          </w:p>
        </w:tc>
        <w:tc>
          <w:tcPr>
            <w:tcW w:type="dxa" w:w="22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3–5x standard fees, 2–3 yr term, minimum commitments</w:t>
            </w:r>
          </w:p>
        </w:tc>
      </w:tr>
      <w:tr>
        <w:tc>
          <w:tcPr>
            <w:tcW w:type="dxa" w:w="29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Recertification &amp; renewals</w:t>
            </w:r>
          </w:p>
        </w:tc>
        <w:tc>
          <w:tcPr>
            <w:tcW w:type="dxa" w:w="42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Expiry-driven recertification cycles; version-triggered delta courses</w:t>
            </w:r>
          </w:p>
        </w:tc>
        <w:tc>
          <w:tcPr>
            <w:tcW w:type="dxa" w:w="22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Built into subscription; drives retention</w:t>
            </w:r>
          </w:p>
        </w:tc>
      </w:tr>
      <w:tr>
        <w:tc>
          <w:tcPr>
            <w:tcW w:type="dxa" w:w="29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Support-desk layer</w:t>
            </w:r>
          </w:p>
        </w:tc>
        <w:tc>
          <w:tcPr>
            <w:tcW w:type="dxa" w:w="42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L1 support tooling / operated support desk for deployment partners</w:t>
            </w:r>
          </w:p>
        </w:tc>
        <w:tc>
          <w:tcPr>
            <w:tcW w:type="dxa" w:w="22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Retainer, scoped per deal</w:t>
            </w:r>
          </w:p>
        </w:tc>
      </w:tr>
      <w:tr>
        <w:tc>
          <w:tcPr>
            <w:tcW w:type="dxa" w:w="29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Train-the-trainer tier</w:t>
            </w:r>
          </w:p>
        </w:tc>
        <w:tc>
          <w:tcPr>
            <w:tcW w:type="dxa" w:w="42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Cohort management for cascade training models used by national programs</w:t>
            </w:r>
          </w:p>
        </w:tc>
        <w:tc>
          <w:tcPr>
            <w:tcW w:type="dxa" w:w="22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Priced tier</w:t>
            </w:r>
          </w:p>
        </w:tc>
      </w:tr>
      <w:tr>
        <w:tc>
          <w:tcPr>
            <w:tcW w:type="dxa" w:w="29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Donor-funded capacity building</w:t>
            </w:r>
          </w:p>
        </w:tc>
        <w:tc>
          <w:tcPr>
            <w:tcW w:type="dxa" w:w="42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Training is a fundable line item in global-health program budgets (opportunistic: the donor landscape contracted after 2025 US aid cuts)</w:t>
            </w:r>
          </w:p>
        </w:tc>
        <w:tc>
          <w:tcPr>
            <w:tcW w:type="dxa" w:w="22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Per grant/program</w:t>
            </w:r>
          </w:p>
        </w:tc>
      </w:tr>
    </w:tbl>
    <w:p>
      <w:pPr>
        <w:spacing w:after="70" w:line="256"/>
      </w:pPr>
      <w:r>
        <w:rPr>
          <w:rFonts w:ascii="Calibri" w:cs="Calibri" w:eastAsia="Calibri" w:hAnsi="Calibri"/>
          <w:i/>
          <w:iCs/>
          <w:color w:val="555555"/>
          <w:sz w:val="18"/>
          <w:szCs w:val="18"/>
        </w:rPr>
        <w:t xml:space="preserve">*Indicative anchors for negotiation, not quotes. Core rules: license, never sell IP; the code stays private (customers get hosted access); exclusivity is priced and time-boxed.</w:t>
      </w:r>
    </w:p>
    <w:p>
      <w:pPr>
        <w:spacing w:after="70" w:before="170"/>
      </w:pPr>
      <w:r>
        <w:rPr>
          <w:rFonts w:ascii="Calibri" w:cs="Calibri" w:eastAsia="Calibri" w:hAnsi="Calibri"/>
          <w:b/>
          <w:bCs/>
          <w:color w:val="0E7C7B"/>
          <w:sz w:val="22"/>
          <w:szCs w:val="22"/>
        </w:rPr>
        <w:t xml:space="preserve">6.2 Illustrative revenue scenarios (assumptions stated, not projections)</w:t>
      </w:r>
    </w:p>
    <w:p>
      <w:pPr>
        <w:pStyle w:val="ListParagraph"/>
        <w:numPr>
          <w:ilvl w:val="0"/>
          <w:numId w:val="2"/>
        </w:numPr>
        <w:spacing w:after="60" w:line="252"/>
      </w:pPr>
      <w:r>
        <w:rPr>
          <w:rFonts w:ascii="Calibri" w:cs="Calibri" w:eastAsia="Calibri" w:hAnsi="Calibri"/>
          <w:b/>
          <w:bCs/>
          <w:color w:val="222222"/>
          <w:sz w:val="21"/>
          <w:szCs w:val="21"/>
        </w:rPr>
        <w:t xml:space="preserve">Year 1 — one vendor, two programs: </w:t>
      </w:r>
      <w:r>
        <w:rPr>
          <w:rFonts w:ascii="Calibri" w:cs="Calibri" w:eastAsia="Calibri" w:hAnsi="Calibri"/>
          <w:color w:val="222222"/>
          <w:sz w:val="21"/>
          <w:szCs w:val="21"/>
        </w:rPr>
        <w:t xml:space="preserve">$20K setup + 2 × $2K/mo + 4 paid courses ≈ $80–100K revenue against &lt;$5K infrastructure/API cost. Assumes one signed vendor relationship; this is the entire near-term bet.</w:t>
      </w:r>
    </w:p>
    <w:p>
      <w:pPr>
        <w:pStyle w:val="ListParagraph"/>
        <w:numPr>
          <w:ilvl w:val="0"/>
          <w:numId w:val="2"/>
        </w:numPr>
        <w:spacing w:after="60" w:line="252"/>
      </w:pPr>
      <w:r>
        <w:rPr>
          <w:rFonts w:ascii="Calibri" w:cs="Calibri" w:eastAsia="Calibri" w:hAnsi="Calibri"/>
          <w:b/>
          <w:bCs/>
          <w:color w:val="222222"/>
          <w:sz w:val="21"/>
          <w:szCs w:val="21"/>
        </w:rPr>
        <w:t xml:space="preserve">Year 2–3 — one anchor vendor at footprint scale: </w:t>
      </w:r>
      <w:r>
        <w:rPr>
          <w:rFonts w:ascii="Calibri" w:cs="Calibri" w:eastAsia="Calibri" w:hAnsi="Calibri"/>
          <w:color w:val="222222"/>
          <w:sz w:val="21"/>
          <w:szCs w:val="21"/>
        </w:rPr>
        <w:t xml:space="preserve">a vendor with many deployments means each new country/hospital program is a new program row: 8–10 programs ≈ $200–350K ARR from one logo, plus services. No new sales motion required beyond the anchor relationship.</w:t>
      </w:r>
    </w:p>
    <w:p>
      <w:pPr>
        <w:pStyle w:val="ListParagraph"/>
        <w:numPr>
          <w:ilvl w:val="0"/>
          <w:numId w:val="2"/>
        </w:numPr>
        <w:spacing w:after="60" w:line="252"/>
      </w:pPr>
      <w:r>
        <w:rPr>
          <w:rFonts w:ascii="Calibri" w:cs="Calibri" w:eastAsia="Calibri" w:hAnsi="Calibri"/>
          <w:b/>
          <w:bCs/>
          <w:color w:val="222222"/>
          <w:sz w:val="21"/>
          <w:szCs w:val="21"/>
        </w:rPr>
        <w:t xml:space="preserve">Multi-vendor stage: </w:t>
      </w:r>
      <w:r>
        <w:rPr>
          <w:rFonts w:ascii="Calibri" w:cs="Calibri" w:eastAsia="Calibri" w:hAnsi="Calibri"/>
          <w:color w:val="222222"/>
          <w:sz w:val="21"/>
          <w:szCs w:val="21"/>
        </w:rPr>
        <w:t xml:space="preserve">3–5 vendors at similar shape ≈ $0.6–1.5M ARR with one founder + contractor-level support — the point at which the company is an asset rather than a contract. Every figure above is arithmetic on stated assumptions, not a forecast.</w:t>
      </w:r>
    </w:p>
    <w:p>
      <w:pPr>
        <w:spacing w:after="70" w:before="170"/>
      </w:pPr>
      <w:r>
        <w:rPr>
          <w:rFonts w:ascii="Calibri" w:cs="Calibri" w:eastAsia="Calibri" w:hAnsi="Calibri"/>
          <w:b/>
          <w:bCs/>
          <w:color w:val="0E7C7B"/>
          <w:sz w:val="22"/>
          <w:szCs w:val="22"/>
        </w:rPr>
        <w:t xml:space="preserve">6.3 Cost structure</w:t>
      </w:r>
    </w:p>
    <w:p>
      <w:pPr>
        <w:spacing w:after="90" w:line="256"/>
      </w:pPr>
      <w:r>
        <w:rPr>
          <w:rFonts w:ascii="Calibri" w:cs="Calibri" w:eastAsia="Calibri" w:hAnsi="Calibri"/>
          <w:color w:val="222222"/>
          <w:sz w:val="21"/>
          <w:szCs w:val="21"/>
        </w:rPr>
        <w:t xml:space="preserve">Build: near-zero cash — AI-agent development on an already-proven stack; founder time (~2–3 focused weeks for the prototype) is the real cost. Run: ~$50–250/month (hosting, database, storage) at demo–pilot scale; LLM API usage is cents per learner-conversation and re-billed with margin. Scale: video bandwidth is the first real cost line, mitigated by planned zero-egress storage; separate hosting regions per major deployment add ~$25+/month each where data residency requires it. Sales cost is relationship time, not ad spend. Gross margins at maturity: 80–90%, typical of vertical SaaS.</w:t>
      </w:r>
    </w:p>
    <w:p>
      <w:pPr>
        <w:pBdr>
          <w:bottom w:val="single" w:color="0E7C7B" w:sz="8"/>
        </w:pBdr>
        <w:spacing w:after="110" w:before="260"/>
      </w:pPr>
      <w:r>
        <w:rPr>
          <w:rFonts w:ascii="Calibri" w:cs="Calibri" w:eastAsia="Calibri" w:hAnsi="Calibri"/>
          <w:b/>
          <w:bCs/>
          <w:color w:val="1B3A5C"/>
          <w:sz w:val="27"/>
          <w:szCs w:val="27"/>
        </w:rPr>
        <w:t xml:space="preserve">7. Why It Will Work — Proof Points, and Strength Today vs. Tomorrow</w:t>
      </w:r>
    </w:p>
    <w:p>
      <w:pPr>
        <w:pStyle w:val="ListParagraph"/>
        <w:numPr>
          <w:ilvl w:val="0"/>
          <w:numId w:val="2"/>
        </w:numPr>
        <w:spacing w:after="60" w:line="252"/>
      </w:pPr>
      <w:r>
        <w:rPr>
          <w:rFonts w:ascii="Calibri" w:cs="Calibri" w:eastAsia="Calibri" w:hAnsi="Calibri"/>
          <w:b/>
          <w:bCs/>
          <w:color w:val="222222"/>
          <w:sz w:val="21"/>
          <w:szCs w:val="21"/>
        </w:rPr>
        <w:t xml:space="preserve">Demand is contractual, not speculative. </w:t>
      </w:r>
      <w:r>
        <w:rPr>
          <w:rFonts w:ascii="Calibri" w:cs="Calibri" w:eastAsia="Calibri" w:hAnsi="Calibri"/>
          <w:color w:val="222222"/>
          <w:sz w:val="21"/>
          <w:szCs w:val="21"/>
        </w:rPr>
        <w:t xml:space="preserve">In national and enterprise medical AI deals, implementation-and-training is a standard budgeted deliverable and local partners standardly carry first-line support — the buyer has an obligation your product discharges, which is the strongest kind of B2B demand.</w:t>
      </w:r>
    </w:p>
    <w:p>
      <w:pPr>
        <w:pStyle w:val="ListParagraph"/>
        <w:numPr>
          <w:ilvl w:val="0"/>
          <w:numId w:val="2"/>
        </w:numPr>
        <w:spacing w:after="60" w:line="252"/>
      </w:pPr>
      <w:r>
        <w:rPr>
          <w:rFonts w:ascii="Calibri" w:cs="Calibri" w:eastAsia="Calibri" w:hAnsi="Calibri"/>
          <w:b/>
          <w:bCs/>
          <w:color w:val="222222"/>
          <w:sz w:val="21"/>
          <w:szCs w:val="21"/>
        </w:rPr>
        <w:t xml:space="preserve">The category is proven one level up. </w:t>
      </w:r>
      <w:r>
        <w:rPr>
          <w:rFonts w:ascii="Calibri" w:cs="Calibri" w:eastAsia="Calibri" w:hAnsi="Calibri"/>
          <w:color w:val="222222"/>
          <w:sz w:val="21"/>
          <w:szCs w:val="21"/>
        </w:rPr>
        <w:t xml:space="preserve">Trailhead/Epic prove vendor certification; Skilljar-class companies prove customer-education SaaS is a fundable, sellable category; healthcare LMS growth (Section 4) proves the budget line exists.</w:t>
      </w:r>
    </w:p>
    <w:p>
      <w:pPr>
        <w:pStyle w:val="ListParagraph"/>
        <w:numPr>
          <w:ilvl w:val="0"/>
          <w:numId w:val="2"/>
        </w:numPr>
        <w:spacing w:after="60" w:line="252"/>
      </w:pPr>
      <w:r>
        <w:rPr>
          <w:rFonts w:ascii="Calibri" w:cs="Calibri" w:eastAsia="Calibri" w:hAnsi="Calibri"/>
          <w:b/>
          <w:bCs/>
          <w:color w:val="222222"/>
          <w:sz w:val="21"/>
          <w:szCs w:val="21"/>
        </w:rPr>
        <w:t xml:space="preserve">Buildability is de-risked. </w:t>
      </w:r>
      <w:r>
        <w:rPr>
          <w:rFonts w:ascii="Calibri" w:cs="Calibri" w:eastAsia="Calibri" w:hAnsi="Calibri"/>
          <w:color w:val="222222"/>
          <w:sz w:val="21"/>
          <w:szCs w:val="21"/>
        </w:rPr>
        <w:t xml:space="preserve">Same architecture patterns (multi-tenant RLS, auth, dashboards) already shipped in the founder's production systems; the prototype exists as a frozen, task-by-task build constitution with acceptance criteria.</w:t>
      </w:r>
    </w:p>
    <w:p>
      <w:pPr>
        <w:pStyle w:val="ListParagraph"/>
        <w:numPr>
          <w:ilvl w:val="0"/>
          <w:numId w:val="2"/>
        </w:numPr>
        <w:spacing w:after="60" w:line="252"/>
      </w:pPr>
      <w:r>
        <w:rPr>
          <w:rFonts w:ascii="Calibri" w:cs="Calibri" w:eastAsia="Calibri" w:hAnsi="Calibri"/>
          <w:b/>
          <w:bCs/>
          <w:color w:val="222222"/>
          <w:sz w:val="21"/>
          <w:szCs w:val="21"/>
        </w:rPr>
        <w:t xml:space="preserve">Unit economics work at tiny scale. </w:t>
      </w:r>
      <w:r>
        <w:rPr>
          <w:rFonts w:ascii="Calibri" w:cs="Calibri" w:eastAsia="Calibri" w:hAnsi="Calibri"/>
          <w:color w:val="222222"/>
          <w:sz w:val="21"/>
          <w:szCs w:val="21"/>
        </w:rPr>
        <w:t xml:space="preserve">One vendor with two programs covers all costs many times over; there is no scale threshold below which the business loses money.</w:t>
      </w:r>
    </w:p>
    <w:p>
      <w:pPr>
        <w:spacing w:after="90" w:line="256"/>
      </w:pPr>
      <w:r>
        <w:rPr>
          <w:rFonts w:ascii="Calibri" w:cs="Calibri" w:eastAsia="Calibri" w:hAnsi="Calibri"/>
          <w:color w:val="222222"/>
          <w:sz w:val="21"/>
          <w:szCs w:val="21"/>
        </w:rPr>
        <w:t xml:space="preserve">Strength today: speed, vertical fit, AI authoring, service depth, and a warm route to the first deployment. Strength tomorrow (the compounding moats): a library of per-model certified AI guardrail configurations, compliance-report formats accepted by real health authorities, completion/competency benchmark data across programs, certificate networks that ministries recognize, and the switching cost of being the system of record for workforce competency. None of these exist yet — they are earned by deployment one, which is why the near-term plan optimizes for getting deployment one live rather than for breadth.</w:t>
      </w:r>
    </w:p>
    <w:p>
      <w:pPr>
        <w:pBdr>
          <w:bottom w:val="single" w:color="0E7C7B" w:sz="8"/>
        </w:pBdr>
        <w:spacing w:after="110" w:before="260"/>
      </w:pPr>
      <w:r>
        <w:rPr>
          <w:rFonts w:ascii="Calibri" w:cs="Calibri" w:eastAsia="Calibri" w:hAnsi="Calibri"/>
          <w:b/>
          <w:bCs/>
          <w:color w:val="1B3A5C"/>
          <w:sz w:val="27"/>
          <w:szCs w:val="27"/>
        </w:rPr>
        <w:t xml:space="preserve">8. Growth Path — Every Business Angle Available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500"/>
        <w:gridCol w:w="4700"/>
        <w:gridCol w:w="3160"/>
      </w:tblGrid>
      <w:tr>
        <w:tc>
          <w:tcPr>
            <w:tcW w:type="dxa" w:w="1500"/>
            <w:shd w:fill="1B3A5C" w:val="clear"/>
            <w:tcMar>
              <w:top w:type="dxa" w:w="55"/>
              <w:left w:type="dxa" w:w="100"/>
              <w:bottom w:type="dxa" w:w="55"/>
              <w:right w:type="dxa" w:w="100"/>
            </w:tcMar>
          </w:tcPr>
          <w:p>
            <w:pPr>
              <w:spacing w:after="0" w:line="244"/>
            </w:pPr>
            <w:r>
              <w:rPr>
                <w:rFonts w:ascii="Calibri" w:cs="Calibri" w:eastAsia="Calibri" w:hAnsi="Calibri"/>
                <w:b/>
                <w:bCs/>
                <w:color w:val="FFFFFF"/>
                <w:sz w:val="18"/>
                <w:szCs w:val="18"/>
              </w:rPr>
              <w:t xml:space="preserve">Stage</w:t>
            </w:r>
          </w:p>
        </w:tc>
        <w:tc>
          <w:tcPr>
            <w:tcW w:type="dxa" w:w="4700"/>
            <w:shd w:fill="1B3A5C" w:val="clear"/>
            <w:tcMar>
              <w:top w:type="dxa" w:w="55"/>
              <w:left w:type="dxa" w:w="100"/>
              <w:bottom w:type="dxa" w:w="55"/>
              <w:right w:type="dxa" w:w="100"/>
            </w:tcMar>
          </w:tcPr>
          <w:p>
            <w:pPr>
              <w:spacing w:after="0" w:line="244"/>
            </w:pPr>
            <w:r>
              <w:rPr>
                <w:rFonts w:ascii="Calibri" w:cs="Calibri" w:eastAsia="Calibri" w:hAnsi="Calibri"/>
                <w:b/>
                <w:bCs/>
                <w:color w:val="FFFFFF"/>
                <w:sz w:val="18"/>
                <w:szCs w:val="18"/>
              </w:rPr>
              <w:t xml:space="preserve">Play</w:t>
            </w:r>
          </w:p>
        </w:tc>
        <w:tc>
          <w:tcPr>
            <w:tcW w:type="dxa" w:w="3160"/>
            <w:shd w:fill="1B3A5C" w:val="clear"/>
            <w:tcMar>
              <w:top w:type="dxa" w:w="55"/>
              <w:left w:type="dxa" w:w="100"/>
              <w:bottom w:type="dxa" w:w="55"/>
              <w:right w:type="dxa" w:w="100"/>
            </w:tcMar>
          </w:tcPr>
          <w:p>
            <w:pPr>
              <w:spacing w:after="0" w:line="244"/>
            </w:pPr>
            <w:r>
              <w:rPr>
                <w:rFonts w:ascii="Calibri" w:cs="Calibri" w:eastAsia="Calibri" w:hAnsi="Calibri"/>
                <w:b/>
                <w:bCs/>
                <w:color w:val="FFFFFF"/>
                <w:sz w:val="18"/>
                <w:szCs w:val="18"/>
              </w:rPr>
              <w:t xml:space="preserve">Trigger / gate</w:t>
            </w:r>
          </w:p>
        </w:tc>
      </w:tr>
      <w:tr>
        <w:tc>
          <w:tcPr>
            <w:tcW w:type="dxa" w:w="15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Now</w:t>
            </w:r>
          </w:p>
        </w:tc>
        <w:tc>
          <w:tcPr>
            <w:tcW w:type="dxa" w:w="47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Working prototype: two-level tenancy, one flagship course, certificates + verification, admin/compliance dashboard, AI assistant with clinical refusal, guided review tour with built-in structured feedback</w:t>
            </w:r>
          </w:p>
        </w:tc>
        <w:tc>
          <w:tcPr>
            <w:tcW w:type="dxa" w:w="31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3–4 week timeboxed sprint; no external spend</w:t>
            </w:r>
          </w:p>
        </w:tc>
      </w:tr>
      <w:tr>
        <w:tc>
          <w:tcPr>
            <w:tcW w:type="dxa" w:w="15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1</w:t>
            </w:r>
          </w:p>
        </w:tc>
        <w:tc>
          <w:tcPr>
            <w:tcW w:type="dxa" w:w="47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Partner-delivery: platform as the enablement/support infrastructure a deployment partner uses to discharge training + L1 obligations; also usable as bid-support ammunition in live pursuits</w:t>
            </w:r>
          </w:p>
        </w:tc>
        <w:tc>
          <w:tcPr>
            <w:tcW w:type="dxa" w:w="31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Positive partner feedback → paid pilot under a signed one-page SOW</w:t>
            </w:r>
          </w:p>
        </w:tc>
      </w:tr>
      <w:tr>
        <w:tc>
          <w:tcPr>
            <w:tcW w:type="dxa" w:w="15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2</w:t>
            </w:r>
          </w:p>
        </w:tc>
        <w:tc>
          <w:tcPr>
            <w:tcW w:type="dxa" w:w="47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Vendor academy: the anchor medical AI vendor adopts the platform across its deployment footprint; each new deployment = new program row = new MRR</w:t>
            </w:r>
          </w:p>
        </w:tc>
        <w:tc>
          <w:tcPr>
            <w:tcW w:type="dxa" w:w="31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Successful first deployment as the credential</w:t>
            </w:r>
          </w:p>
        </w:tc>
      </w:tr>
      <w:tr>
        <w:tc>
          <w:tcPr>
            <w:tcW w:type="dxa" w:w="15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3</w:t>
            </w:r>
          </w:p>
        </w:tc>
        <w:tc>
          <w:tcPr>
            <w:tcW w:type="dxa" w:w="47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Multi-vendor platform: the same product sold to other medical AI companies with per-vendor tenancy and optional exclusivity pricing. Tiered target list (verified July 2026): Phase A independents — Qure.ai, Lunit, Gleamer, Aidoc, VUNO, Annalise.ai (via Harrison.ai); enterprise parents (Sectra, RadNet/DeepHealth, Nanox.AI) deferred to later phases; Aidence and Oxipit removed as independents (acquired)</w:t>
            </w:r>
          </w:p>
        </w:tc>
        <w:tc>
          <w:tcPr>
            <w:tcW w:type="dxa" w:w="31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2+ reference deployments; earliest sensible moment for entity/brand investment and outbound sales</w:t>
            </w:r>
          </w:p>
        </w:tc>
      </w:tr>
      <w:tr>
        <w:tc>
          <w:tcPr>
            <w:tcW w:type="dxa" w:w="15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4</w:t>
            </w:r>
          </w:p>
        </w:tc>
        <w:tc>
          <w:tcPr>
            <w:tcW w:type="dxa" w:w="47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Category expansion &amp; endgame: per-model certification-as-a-service, ministry-recognized credential networks, in-product guided training overlays inside the vendor’s own software (WalkMe/Pendo pattern — a distinct, heavier product), co-published implementation research with vendors; natural acquirers are customer-education platforms, healthcare LMS incumbents, or a major vendor buying its enablement layer</w:t>
            </w:r>
          </w:p>
        </w:tc>
        <w:tc>
          <w:tcPr>
            <w:tcW w:type="dxa" w:w="31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Only after Stage 3 traction; never build for the acquirer before revenue</w:t>
            </w:r>
          </w:p>
        </w:tc>
      </w:tr>
    </w:tbl>
    <w:p>
      <w:pPr>
        <w:spacing w:after="60"/>
      </w:pPr>
    </w:p>
    <w:p>
      <w:pPr>
        <w:spacing w:after="90" w:line="256"/>
      </w:pPr>
      <w:r>
        <w:rPr>
          <w:rFonts w:ascii="Calibri" w:cs="Calibri" w:eastAsia="Calibri" w:hAnsi="Calibri"/>
          <w:i/>
          <w:iCs/>
          <w:color w:val="555555"/>
          <w:sz w:val="19"/>
          <w:szCs w:val="19"/>
        </w:rPr>
        <w:t xml:space="preserve">Adjacent optionality (parked, real): the identical machine — courses, certificates, compliance records, AI assistant — serves any vendor of complex regulated software with distributed operators (HVAC controls, industrial equipment, other verticals), and internal use for the founder's own companies. Listed for completeness; pursuing them before Stage 3 would dilute the wedge.</w:t>
      </w:r>
    </w:p>
    <w:p>
      <w:pPr>
        <w:pBdr>
          <w:bottom w:val="single" w:color="0E7C7B" w:sz="8"/>
        </w:pBdr>
        <w:spacing w:after="110" w:before="260"/>
      </w:pPr>
      <w:r>
        <w:rPr>
          <w:rFonts w:ascii="Calibri" w:cs="Calibri" w:eastAsia="Calibri" w:hAnsi="Calibri"/>
          <w:b/>
          <w:bCs/>
          <w:color w:val="1B3A5C"/>
          <w:sz w:val="27"/>
          <w:szCs w:val="27"/>
        </w:rPr>
        <w:t xml:space="preserve">9. Legal, Compliance &amp; Country Considerations</w:t>
      </w:r>
    </w:p>
    <w:p>
      <w:pPr>
        <w:pStyle w:val="ListParagraph"/>
        <w:numPr>
          <w:ilvl w:val="0"/>
          <w:numId w:val="2"/>
        </w:numPr>
        <w:spacing w:after="60" w:line="252"/>
      </w:pPr>
      <w:r>
        <w:rPr>
          <w:rFonts w:ascii="Calibri" w:cs="Calibri" w:eastAsia="Calibri" w:hAnsi="Calibri"/>
          <w:b/>
          <w:bCs/>
          <w:color w:val="222222"/>
          <w:sz w:val="21"/>
          <w:szCs w:val="21"/>
        </w:rPr>
        <w:t xml:space="preserve">Regulatory classification (favorable): </w:t>
      </w:r>
      <w:r>
        <w:rPr>
          <w:rFonts w:ascii="Calibri" w:cs="Calibri" w:eastAsia="Calibri" w:hAnsi="Calibri"/>
          <w:color w:val="222222"/>
          <w:sz w:val="21"/>
          <w:szCs w:val="21"/>
        </w:rPr>
        <w:t xml:space="preserve">an LMS teaching software operation is not a medical device in any major jurisdiction; the platform stays outside FDA/CE scope as long as the AI assistant never gives clinical guidance — which is enforced as a hard product rule and per-model certification test, not a policy memo.</w:t>
      </w:r>
    </w:p>
    <w:p>
      <w:pPr>
        <w:pStyle w:val="ListParagraph"/>
        <w:numPr>
          <w:ilvl w:val="0"/>
          <w:numId w:val="2"/>
        </w:numPr>
        <w:spacing w:after="60" w:line="252"/>
      </w:pPr>
      <w:r>
        <w:rPr>
          <w:rFonts w:ascii="Calibri" w:cs="Calibri" w:eastAsia="Calibri" w:hAnsi="Calibri"/>
          <w:b/>
          <w:bCs/>
          <w:color w:val="222222"/>
          <w:sz w:val="21"/>
          <w:szCs w:val="21"/>
        </w:rPr>
        <w:t xml:space="preserve">Data protection: </w:t>
      </w:r>
      <w:r>
        <w:rPr>
          <w:rFonts w:ascii="Calibri" w:cs="Calibri" w:eastAsia="Calibri" w:hAnsi="Calibri"/>
          <w:color w:val="222222"/>
          <w:sz w:val="21"/>
          <w:szCs w:val="21"/>
        </w:rPr>
        <w:t xml:space="preserve">the platform holds staff data (names, emails, roles, scores), not patient data — ordinary data-protection territory. Per-jurisdiction duties still apply: GDPR-style laws now exist across target geographies (EU GDPR; India's DPDP Act 2023; Singapore PDPA plus government hosting rules; Kenya's DPA 2019; Guyana's Data Protection Act 2023 phasing in; US state laws). Practical design answers: hosting-region-per-program, a standard DPA template, minimal data collection, and deletion workflows.</w:t>
      </w:r>
    </w:p>
    <w:p>
      <w:pPr>
        <w:pStyle w:val="ListParagraph"/>
        <w:numPr>
          <w:ilvl w:val="0"/>
          <w:numId w:val="2"/>
        </w:numPr>
        <w:spacing w:after="60" w:line="252"/>
      </w:pPr>
      <w:r>
        <w:rPr>
          <w:rFonts w:ascii="Calibri" w:cs="Calibri" w:eastAsia="Calibri" w:hAnsi="Calibri"/>
          <w:b/>
          <w:bCs/>
          <w:color w:val="222222"/>
          <w:sz w:val="21"/>
          <w:szCs w:val="21"/>
        </w:rPr>
        <w:t xml:space="preserve">The bright red line: </w:t>
      </w:r>
      <w:r>
        <w:rPr>
          <w:rFonts w:ascii="Calibri" w:cs="Calibri" w:eastAsia="Calibri" w:hAnsi="Calibri"/>
          <w:color w:val="222222"/>
          <w:sz w:val="21"/>
          <w:szCs w:val="21"/>
        </w:rPr>
        <w:t xml:space="preserve">no patient data, ever. Vendor contracts must warrant that all uploaded training content is de-identified; one identifiable patient image in storage moves the platform into health-privacy law across multiple countries. One warranty clause plus an upload-time attestation keeps it out.</w:t>
      </w:r>
    </w:p>
    <w:p>
      <w:pPr>
        <w:pStyle w:val="ListParagraph"/>
        <w:numPr>
          <w:ilvl w:val="0"/>
          <w:numId w:val="2"/>
        </w:numPr>
        <w:spacing w:after="60" w:line="252"/>
      </w:pPr>
      <w:r>
        <w:rPr>
          <w:rFonts w:ascii="Calibri" w:cs="Calibri" w:eastAsia="Calibri" w:hAnsi="Calibri"/>
          <w:b/>
          <w:bCs/>
          <w:color w:val="222222"/>
          <w:sz w:val="21"/>
          <w:szCs w:val="21"/>
        </w:rPr>
        <w:t xml:space="preserve">Certificates: </w:t>
      </w:r>
      <w:r>
        <w:rPr>
          <w:rFonts w:ascii="Calibri" w:cs="Calibri" w:eastAsia="Calibri" w:hAnsi="Calibri"/>
          <w:color w:val="222222"/>
          <w:sz w:val="21"/>
          <w:szCs w:val="21"/>
        </w:rPr>
        <w:t xml:space="preserve">worded as product competency, never clinical credentialing or CE/CME — accredited-credit integrations are a later, partnership-based feature, not a claim.</w:t>
      </w:r>
    </w:p>
    <w:p>
      <w:pPr>
        <w:pStyle w:val="ListParagraph"/>
        <w:numPr>
          <w:ilvl w:val="0"/>
          <w:numId w:val="2"/>
        </w:numPr>
        <w:spacing w:after="60" w:line="252"/>
      </w:pPr>
      <w:r>
        <w:rPr>
          <w:rFonts w:ascii="Calibri" w:cs="Calibri" w:eastAsia="Calibri" w:hAnsi="Calibri"/>
          <w:b/>
          <w:bCs/>
          <w:color w:val="222222"/>
          <w:sz w:val="21"/>
          <w:szCs w:val="21"/>
        </w:rPr>
        <w:t xml:space="preserve">IP &amp; trademark discipline: </w:t>
      </w:r>
      <w:r>
        <w:rPr>
          <w:rFonts w:ascii="Calibri" w:cs="Calibri" w:eastAsia="Calibri" w:hAnsi="Calibri"/>
          <w:color w:val="222222"/>
          <w:sz w:val="21"/>
          <w:szCs w:val="21"/>
        </w:rPr>
        <w:t xml:space="preserve">code is founder-owned and never transferred; vendor branding exists only as tenant configuration applied after written authorization; the neutral product brand gets a USPTO knock-out search before public use.</w:t>
      </w:r>
    </w:p>
    <w:p>
      <w:pPr>
        <w:pStyle w:val="ListParagraph"/>
        <w:numPr>
          <w:ilvl w:val="0"/>
          <w:numId w:val="2"/>
        </w:numPr>
        <w:spacing w:after="60" w:line="252"/>
      </w:pPr>
      <w:r>
        <w:rPr>
          <w:rFonts w:ascii="Calibri" w:cs="Calibri" w:eastAsia="Calibri" w:hAnsi="Calibri"/>
          <w:b/>
          <w:bCs/>
          <w:color w:val="222222"/>
          <w:sz w:val="21"/>
          <w:szCs w:val="21"/>
        </w:rPr>
        <w:t xml:space="preserve">Enterprise-trust drawer (prepare before first contract, not before first demo): </w:t>
      </w:r>
      <w:r>
        <w:rPr>
          <w:rFonts w:ascii="Calibri" w:cs="Calibri" w:eastAsia="Calibri" w:hAnsi="Calibri"/>
          <w:color w:val="222222"/>
          <w:sz w:val="21"/>
          <w:szCs w:val="21"/>
        </w:rPr>
        <w:t xml:space="preserve">source-code escrow offer, E&amp;O/professional liability insurance, a one-page security &amp; data-handling statement, WCAG accessibility on the roadmap, uptime SLA language, and a US LLC as the contracting entity (timing per founder's decision; both likely counterparty types have US entities, keeping contracts US-to-US).</w:t>
      </w:r>
    </w:p>
    <w:p>
      <w:pPr>
        <w:pBdr>
          <w:bottom w:val="single" w:color="0E7C7B" w:sz="8"/>
        </w:pBdr>
        <w:spacing w:after="110" w:before="260"/>
      </w:pPr>
      <w:r>
        <w:rPr>
          <w:rFonts w:ascii="Calibri" w:cs="Calibri" w:eastAsia="Calibri" w:hAnsi="Calibri"/>
          <w:b/>
          <w:bCs/>
          <w:color w:val="1B3A5C"/>
          <w:sz w:val="27"/>
          <w:szCs w:val="27"/>
        </w:rPr>
        <w:t xml:space="preserve">10. Honest Risk Register</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3900"/>
        <w:gridCol w:w="2860"/>
      </w:tblGrid>
      <w:tr>
        <w:tc>
          <w:tcPr>
            <w:tcW w:type="dxa" w:w="2600"/>
            <w:shd w:fill="1B3A5C" w:val="clear"/>
            <w:tcMar>
              <w:top w:type="dxa" w:w="55"/>
              <w:left w:type="dxa" w:w="100"/>
              <w:bottom w:type="dxa" w:w="55"/>
              <w:right w:type="dxa" w:w="100"/>
            </w:tcMar>
          </w:tcPr>
          <w:p>
            <w:pPr>
              <w:spacing w:after="0" w:line="244"/>
            </w:pPr>
            <w:r>
              <w:rPr>
                <w:rFonts w:ascii="Calibri" w:cs="Calibri" w:eastAsia="Calibri" w:hAnsi="Calibri"/>
                <w:b/>
                <w:bCs/>
                <w:color w:val="FFFFFF"/>
                <w:sz w:val="18"/>
                <w:szCs w:val="18"/>
              </w:rPr>
              <w:t xml:space="preserve">Risk</w:t>
            </w:r>
          </w:p>
        </w:tc>
        <w:tc>
          <w:tcPr>
            <w:tcW w:type="dxa" w:w="3900"/>
            <w:shd w:fill="1B3A5C" w:val="clear"/>
            <w:tcMar>
              <w:top w:type="dxa" w:w="55"/>
              <w:left w:type="dxa" w:w="100"/>
              <w:bottom w:type="dxa" w:w="55"/>
              <w:right w:type="dxa" w:w="100"/>
            </w:tcMar>
          </w:tcPr>
          <w:p>
            <w:pPr>
              <w:spacing w:after="0" w:line="244"/>
            </w:pPr>
            <w:r>
              <w:rPr>
                <w:rFonts w:ascii="Calibri" w:cs="Calibri" w:eastAsia="Calibri" w:hAnsi="Calibri"/>
                <w:b/>
                <w:bCs/>
                <w:color w:val="FFFFFF"/>
                <w:sz w:val="18"/>
                <w:szCs w:val="18"/>
              </w:rPr>
              <w:t xml:space="preserve">Reality</w:t>
            </w:r>
          </w:p>
        </w:tc>
        <w:tc>
          <w:tcPr>
            <w:tcW w:type="dxa" w:w="2860"/>
            <w:shd w:fill="1B3A5C" w:val="clear"/>
            <w:tcMar>
              <w:top w:type="dxa" w:w="55"/>
              <w:left w:type="dxa" w:w="100"/>
              <w:bottom w:type="dxa" w:w="55"/>
              <w:right w:type="dxa" w:w="100"/>
            </w:tcMar>
          </w:tcPr>
          <w:p>
            <w:pPr>
              <w:spacing w:after="0" w:line="244"/>
            </w:pPr>
            <w:r>
              <w:rPr>
                <w:rFonts w:ascii="Calibri" w:cs="Calibri" w:eastAsia="Calibri" w:hAnsi="Calibri"/>
                <w:b/>
                <w:bCs/>
                <w:color w:val="FFFFFF"/>
                <w:sz w:val="18"/>
                <w:szCs w:val="18"/>
              </w:rPr>
              <w:t xml:space="preserve">Mitigation</w:t>
            </w:r>
          </w:p>
        </w:tc>
      </w:tr>
      <w:tr>
        <w:tc>
          <w:tcPr>
            <w:tcW w:type="dxa" w:w="26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Relationship concentration</w:t>
            </w:r>
          </w:p>
        </w:tc>
        <w:tc>
          <w:tcPr>
            <w:tcW w:type="dxa" w:w="39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Near-term demand routes through a small number of relationships; if they stall, Stages 1–2 stall regardless of product quality</w:t>
            </w:r>
          </w:p>
        </w:tc>
        <w:tc>
          <w:tcPr>
            <w:tcW w:type="dxa" w:w="28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Timeboxed build; multi-tenant design retains value for Stage 3 and internal use; pre-defined park rule (no engagement after handover + 2 nudges + ~3 weeks → project parks)</w:t>
            </w:r>
          </w:p>
        </w:tc>
      </w:tr>
      <w:tr>
        <w:tc>
          <w:tcPr>
            <w:tcW w:type="dxa" w:w="26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Buy-vs-build by the customer</w:t>
            </w:r>
          </w:p>
        </w:tc>
        <w:tc>
          <w:tcPr>
            <w:tcW w:type="dxa" w:w="39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Off-the-shelf LMS is cheap; vendors have engineers</w:t>
            </w:r>
          </w:p>
        </w:tc>
        <w:tc>
          <w:tcPr>
            <w:tcW w:type="dxa" w:w="28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Lead with what they can't buy: authoring pipeline, clinical-refusal AI, practical assessments, ministry-shaped compliance exports, done-for-you service</w:t>
            </w:r>
          </w:p>
        </w:tc>
      </w:tr>
      <w:tr>
        <w:tc>
          <w:tcPr>
            <w:tcW w:type="dxa" w:w="26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Unvalidated requirements</w:t>
            </w:r>
          </w:p>
        </w:tc>
        <w:tc>
          <w:tcPr>
            <w:tcW w:type="dxa" w:w="39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Built ahead of confirmed buyer requirements by design</w:t>
            </w:r>
          </w:p>
        </w:tc>
        <w:tc>
          <w:tcPr>
            <w:tcW w:type="dxa" w:w="28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The prototype's guided tour + structured feedback system is the discovery instrument; cost of being wrong is ~3 weeks</w:t>
            </w:r>
          </w:p>
        </w:tc>
      </w:tr>
      <w:tr>
        <w:tc>
          <w:tcPr>
            <w:tcW w:type="dxa" w:w="26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Incumbent verticalization</w:t>
            </w:r>
          </w:p>
        </w:tc>
        <w:tc>
          <w:tcPr>
            <w:tcW w:type="dxa" w:w="39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A Skilljar-class player could add healthcare features</w:t>
            </w:r>
          </w:p>
        </w:tc>
        <w:tc>
          <w:tcPr>
            <w:tcW w:type="dxa" w:w="28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Speed + service depth + emerging-market field fit (offline, WhatsApp, low bandwidth) are unattractive economics for them; niche depth is the defense</w:t>
            </w:r>
          </w:p>
        </w:tc>
      </w:tr>
      <w:tr>
        <w:tc>
          <w:tcPr>
            <w:tcW w:type="dxa" w:w="26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Founder bandwidth</w:t>
            </w:r>
          </w:p>
        </w:tc>
        <w:tc>
          <w:tcPr>
            <w:tcW w:type="dxa" w:w="39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Competing commitments are real</w:t>
            </w:r>
          </w:p>
        </w:tc>
        <w:tc>
          <w:tcPr>
            <w:tcW w:type="dxa" w:w="28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Strict timebox; external money gates all post-prototype work</w:t>
            </w:r>
          </w:p>
        </w:tc>
      </w:tr>
      <w:tr>
        <w:tc>
          <w:tcPr>
            <w:tcW w:type="dxa" w:w="26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Payment &amp; procurement friction</w:t>
            </w:r>
          </w:p>
        </w:tc>
        <w:tc>
          <w:tcPr>
            <w:tcW w:type="dxa" w:w="39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Government-adjacent deals pay slowly; cross-border withholding taxes exist</w:t>
            </w:r>
          </w:p>
        </w:tc>
        <w:tc>
          <w:tcPr>
            <w:tcW w:type="dxa" w:w="28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Contract with US entities where possible; deposits before build; partner (not ministry) as the paying customer</w:t>
            </w:r>
          </w:p>
        </w:tc>
      </w:tr>
    </w:tbl>
    <w:p>
      <w:pPr>
        <w:pBdr>
          <w:bottom w:val="single" w:color="0E7C7B" w:sz="8"/>
        </w:pBdr>
        <w:spacing w:after="110" w:before="260"/>
      </w:pPr>
      <w:r>
        <w:rPr>
          <w:rFonts w:ascii="Calibri" w:cs="Calibri" w:eastAsia="Calibri" w:hAnsi="Calibri"/>
          <w:b/>
          <w:bCs/>
          <w:color w:val="1B3A5C"/>
          <w:sz w:val="27"/>
          <w:szCs w:val="27"/>
        </w:rPr>
        <w:t xml:space="preserve">11. Verdict &amp; Immediate Next Steps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4600"/>
        <w:gridCol w:w="1400"/>
        <w:gridCol w:w="3360"/>
      </w:tblGrid>
      <w:tr>
        <w:tc>
          <w:tcPr>
            <w:tcW w:type="dxa" w:w="4600"/>
            <w:shd w:fill="1B3A5C" w:val="clear"/>
            <w:tcMar>
              <w:top w:type="dxa" w:w="55"/>
              <w:left w:type="dxa" w:w="100"/>
              <w:bottom w:type="dxa" w:w="55"/>
              <w:right w:type="dxa" w:w="100"/>
            </w:tcMar>
          </w:tcPr>
          <w:p>
            <w:pPr>
              <w:spacing w:after="0" w:line="244"/>
            </w:pPr>
            <w:r>
              <w:rPr>
                <w:rFonts w:ascii="Calibri" w:cs="Calibri" w:eastAsia="Calibri" w:hAnsi="Calibri"/>
                <w:b/>
                <w:bCs/>
                <w:color w:val="FFFFFF"/>
                <w:sz w:val="18"/>
                <w:szCs w:val="18"/>
              </w:rPr>
              <w:t xml:space="preserve">Dimension</w:t>
            </w:r>
          </w:p>
        </w:tc>
        <w:tc>
          <w:tcPr>
            <w:tcW w:type="dxa" w:w="1400"/>
            <w:shd w:fill="1B3A5C" w:val="clear"/>
            <w:tcMar>
              <w:top w:type="dxa" w:w="55"/>
              <w:left w:type="dxa" w:w="100"/>
              <w:bottom w:type="dxa" w:w="55"/>
              <w:right w:type="dxa" w:w="100"/>
            </w:tcMar>
          </w:tcPr>
          <w:p>
            <w:pPr>
              <w:spacing w:after="0" w:line="244"/>
            </w:pPr>
            <w:r>
              <w:rPr>
                <w:rFonts w:ascii="Calibri" w:cs="Calibri" w:eastAsia="Calibri" w:hAnsi="Calibri"/>
                <w:b/>
                <w:bCs/>
                <w:color w:val="FFFFFF"/>
                <w:sz w:val="18"/>
                <w:szCs w:val="18"/>
              </w:rPr>
              <w:t xml:space="preserve">Score /10</w:t>
            </w:r>
          </w:p>
        </w:tc>
        <w:tc>
          <w:tcPr>
            <w:tcW w:type="dxa" w:w="3360"/>
            <w:shd w:fill="1B3A5C" w:val="clear"/>
            <w:tcMar>
              <w:top w:type="dxa" w:w="55"/>
              <w:left w:type="dxa" w:w="100"/>
              <w:bottom w:type="dxa" w:w="55"/>
              <w:right w:type="dxa" w:w="100"/>
            </w:tcMar>
          </w:tcPr>
          <w:p>
            <w:pPr>
              <w:spacing w:after="0" w:line="244"/>
            </w:pPr>
            <w:r>
              <w:rPr>
                <w:rFonts w:ascii="Calibri" w:cs="Calibri" w:eastAsia="Calibri" w:hAnsi="Calibri"/>
                <w:b/>
                <w:bCs/>
                <w:color w:val="FFFFFF"/>
                <w:sz w:val="18"/>
                <w:szCs w:val="18"/>
              </w:rPr>
              <w:t xml:space="preserve">One-line basis</w:t>
            </w:r>
          </w:p>
        </w:tc>
      </w:tr>
      <w:tr>
        <w:tc>
          <w:tcPr>
            <w:tcW w:type="dxa" w:w="46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Problem reality &amp; demand type</w:t>
            </w:r>
          </w:p>
        </w:tc>
        <w:tc>
          <w:tcPr>
            <w:tcW w:type="dxa" w:w="14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8</w:t>
            </w:r>
          </w:p>
        </w:tc>
        <w:tc>
          <w:tcPr>
            <w:tcW w:type="dxa" w:w="33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Contractual training/support obligations, regulatory tailwind</w:t>
            </w:r>
          </w:p>
        </w:tc>
      </w:tr>
      <w:tr>
        <w:tc>
          <w:tcPr>
            <w:tcW w:type="dxa" w:w="46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Market timing</w:t>
            </w:r>
          </w:p>
        </w:tc>
        <w:tc>
          <w:tcPr>
            <w:tcW w:type="dxa" w:w="14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8</w:t>
            </w:r>
          </w:p>
        </w:tc>
        <w:tc>
          <w:tcPr>
            <w:tcW w:type="dxa" w:w="33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Medical AI deployment wave + AI-literacy mandates, category proven one level up</w:t>
            </w:r>
          </w:p>
        </w:tc>
      </w:tr>
      <w:tr>
        <w:tc>
          <w:tcPr>
            <w:tcW w:type="dxa" w:w="46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Technical architecture &amp; buildability</w:t>
            </w:r>
          </w:p>
        </w:tc>
        <w:tc>
          <w:tcPr>
            <w:tcW w:type="dxa" w:w="14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9</w:t>
            </w:r>
          </w:p>
        </w:tc>
        <w:tc>
          <w:tcPr>
            <w:tcW w:type="dxa" w:w="33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Proven stack, frozen build constitution, near-zero cash cost</w:t>
            </w:r>
          </w:p>
        </w:tc>
      </w:tr>
      <w:tr>
        <w:tc>
          <w:tcPr>
            <w:tcW w:type="dxa" w:w="46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Cost efficiency now &amp; at scale</w:t>
            </w:r>
          </w:p>
        </w:tc>
        <w:tc>
          <w:tcPr>
            <w:tcW w:type="dxa" w:w="14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9</w:t>
            </w:r>
          </w:p>
        </w:tc>
        <w:tc>
          <w:tcPr>
            <w:tcW w:type="dxa" w:w="33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&lt;$250/mo to pilot; 80–90% gross margins; one known scaling cost with a known fix</w:t>
            </w:r>
          </w:p>
        </w:tc>
      </w:tr>
      <w:tr>
        <w:tc>
          <w:tcPr>
            <w:tcW w:type="dxa" w:w="46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Competitive position</w:t>
            </w:r>
          </w:p>
        </w:tc>
        <w:tc>
          <w:tcPr>
            <w:tcW w:type="dxa" w:w="14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7</w:t>
            </w:r>
          </w:p>
        </w:tc>
        <w:tc>
          <w:tcPr>
            <w:tcW w:type="dxa" w:w="33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Real vertical gap; moat is earnable (service + vertical features), not inherited</w:t>
            </w:r>
          </w:p>
        </w:tc>
      </w:tr>
      <w:tr>
        <w:tc>
          <w:tcPr>
            <w:tcW w:type="dxa" w:w="46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Demand validation as of today</w:t>
            </w:r>
          </w:p>
        </w:tc>
        <w:tc>
          <w:tcPr>
            <w:tcW w:type="dxa" w:w="14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5</w:t>
            </w:r>
          </w:p>
        </w:tc>
        <w:tc>
          <w:tcPr>
            <w:tcW w:type="dxa" w:w="33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No signed buyer; thesis rests on relationship-routed first deal</w:t>
            </w:r>
          </w:p>
        </w:tc>
      </w:tr>
      <w:tr>
        <w:tc>
          <w:tcPr>
            <w:tcW w:type="dxa" w:w="46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Revenue potential (staged)</w:t>
            </w:r>
          </w:p>
        </w:tc>
        <w:tc>
          <w:tcPr>
            <w:tcW w:type="dxa" w:w="14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7</w:t>
            </w:r>
          </w:p>
        </w:tc>
        <w:tc>
          <w:tcPr>
            <w:tcW w:type="dxa" w:w="33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Arithmetic works from one vendor; multi-vendor upside real but gated on Stage 1–2 proof</w:t>
            </w:r>
          </w:p>
        </w:tc>
      </w:tr>
      <w:tr>
        <w:tc>
          <w:tcPr>
            <w:tcW w:type="dxa" w:w="46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Overall</w:t>
            </w:r>
          </w:p>
        </w:tc>
        <w:tc>
          <w:tcPr>
            <w:tcW w:type="dxa" w:w="140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7.5</w:t>
            </w:r>
          </w:p>
        </w:tc>
        <w:tc>
          <w:tcPr>
            <w:tcW w:type="dxa" w:w="3360"/>
            <w:tcMar>
              <w:top w:type="dxa" w:w="55"/>
              <w:left w:type="dxa" w:w="100"/>
              <w:bottom w:type="dxa" w:w="55"/>
              <w:right w:type="dxa" w:w="100"/>
            </w:tcMar>
          </w:tcPr>
          <w:p>
            <w:pPr>
              <w:spacing w:after="0" w:line="244"/>
            </w:pPr>
            <w:r>
              <w:rPr>
                <w:rFonts w:ascii="Calibri" w:cs="Calibri" w:eastAsia="Calibri" w:hAnsi="Calibri"/>
                <w:b w:val="false"/>
                <w:bCs w:val="false"/>
                <w:color w:val="222222"/>
                <w:sz w:val="18"/>
                <w:szCs w:val="18"/>
              </w:rPr>
              <w:t xml:space="preserve">Strong contained bet: cheap to prove, expensive only if discipline slips</w:t>
            </w:r>
          </w:p>
        </w:tc>
      </w:tr>
    </w:tbl>
    <w:p>
      <w:pPr>
        <w:spacing w:after="60"/>
      </w:pPr>
    </w:p>
    <w:p>
      <w:pPr>
        <w:spacing w:after="90" w:line="256"/>
      </w:pPr>
      <w:r>
        <w:rPr>
          <w:rFonts w:ascii="Calibri" w:cs="Calibri" w:eastAsia="Calibri" w:hAnsi="Calibri"/>
          <w:color w:val="222222"/>
          <w:sz w:val="21"/>
          <w:szCs w:val="21"/>
        </w:rPr>
        <w:t xml:space="preserve">Immediate next steps: (1) finalize prototype seed content and run the frozen build plan (3–4 week timebox); (2) handover with guided tour + structured feedback capture; (3) convert positive feedback to a signed one-page pilot SOW with a deposit before any post-prototype work; (4) entity formation and trademark search at contract time; (5) the park rule applies automatically if engagement doesn't materialize. The prototype is the market research, the sales pitch, and the product foundation in one artifact — that triple use is what makes the bet efficient.</w:t>
      </w:r>
    </w:p>
    <w:sectPr>
      <w:footerReference w:type="default" r:id="rId7"/>
      <w:pgSz w:w="12240" w:h="15840" w:orient="portrait"/>
      <w:pgMar w:top="760" w:right="980" w:bottom="760" w:left="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5"/>
        <w:szCs w:val="15"/>
      </w:rPr>
      <w:t xml:space="preserve">Internal strategy document  •  Page </w:t>
    </w:r>
    <w:r>
      <w:rPr>
        <w:rFonts w:ascii="Calibri" w:cs="Calibri" w:eastAsia="Calibri" w:hAnsi="Calibri"/>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3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2026-07-09T03:02:42.730Z</dcterms:created>
  <dcterms:modified xsi:type="dcterms:W3CDTF">2026-07-09T03:02:42.742Z</dcterms:modified>
</cp:coreProperties>
</file>

<file path=docProps/custom.xml><?xml version="1.0" encoding="utf-8"?>
<Properties xmlns="http://schemas.openxmlformats.org/officeDocument/2006/custom-properties" xmlns:vt="http://schemas.openxmlformats.org/officeDocument/2006/docPropsVTypes"/>
</file>