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60"/>
      </w:pPr>
      <w:r>
        <w:rPr>
          <w:rFonts w:ascii="Calibri" w:cs="Calibri" w:eastAsia="Calibri" w:hAnsi="Calibri"/>
          <w:b/>
          <w:bCs/>
          <w:color w:val="1B3A5C"/>
          <w:sz w:val="30"/>
          <w:szCs w:val="30"/>
        </w:rPr>
        <w:t xml:space="preserve">STATEMENT OF WORK — PILOT PHASE</w:t>
      </w:r>
    </w:p>
    <w:p>
      <w:pPr>
        <w:spacing w:after="90" w:line="248"/>
      </w:pPr>
      <w:r>
        <w:rPr>
          <w:rFonts w:ascii="Calibri" w:cs="Calibri" w:eastAsia="Calibri" w:hAnsi="Calibri"/>
          <w:i/>
          <w:iCs/>
          <w:color w:val="555555"/>
          <w:sz w:val="16"/>
          <w:szCs w:val="16"/>
        </w:rPr>
        <w:t xml:space="preserve">Training &amp; Certification Platform  |  TEMPLATE — INTERNAL DRAFT, attorney review required before signature  |  SOW #001 under Master Service Agreement dated ____________</w:t>
      </w:r>
    </w:p>
    <w:p>
      <w:pPr>
        <w:pBdr>
          <w:bottom w:val="single" w:color="0E7C7B" w:sz="6"/>
        </w:pBdr>
        <w:spacing w:after="80" w:before="190"/>
      </w:pPr>
      <w:r>
        <w:rPr>
          <w:rFonts w:ascii="Calibri" w:cs="Calibri" w:eastAsia="Calibri" w:hAnsi="Calibri"/>
          <w:b/>
          <w:bCs/>
          <w:color w:val="1B3A5C"/>
          <w:sz w:val="23"/>
          <w:szCs w:val="23"/>
        </w:rPr>
        <w:t xml:space="preserve">1. Parties &amp; Effective Date</w:t>
      </w:r>
    </w:p>
    <w:p>
      <w:pPr>
        <w:spacing w:after="75" w:line="248"/>
      </w:pPr>
      <w:r>
        <w:rPr>
          <w:rFonts w:ascii="Calibri" w:cs="Calibri" w:eastAsia="Calibri" w:hAnsi="Calibri"/>
          <w:color w:val="222222"/>
          <w:sz w:val="19"/>
          <w:szCs w:val="19"/>
        </w:rPr>
        <w:t xml:space="preserve">Provider: ____________________ LLC (“Provider”).  Client: ____________________ (“Client”).  Effective date: ____________.  This SOW incorporates the terms of the MSA; conflicts resolve in favor of the MSA except where this SOW expressly states otherwise.</w:t>
      </w:r>
    </w:p>
    <w:p>
      <w:pPr>
        <w:pBdr>
          <w:bottom w:val="single" w:color="0E7C7B" w:sz="6"/>
        </w:pBdr>
        <w:spacing w:after="80" w:before="190"/>
      </w:pPr>
      <w:r>
        <w:rPr>
          <w:rFonts w:ascii="Calibri" w:cs="Calibri" w:eastAsia="Calibri" w:hAnsi="Calibri"/>
          <w:b/>
          <w:bCs/>
          <w:color w:val="1B3A5C"/>
          <w:sz w:val="23"/>
          <w:szCs w:val="23"/>
        </w:rPr>
        <w:t xml:space="preserve">2. Scope &amp; Deliverables (Pilot)</w:t>
      </w:r>
    </w:p>
    <w:p>
      <w:pPr>
        <w:pStyle w:val="ListParagraph"/>
        <w:numPr>
          <w:ilvl w:val="0"/>
          <w:numId w:val="2"/>
        </w:numPr>
        <w:spacing w:after="45" w:line="244"/>
      </w:pPr>
      <w:r>
        <w:rPr>
          <w:rFonts w:ascii="Calibri" w:cs="Calibri" w:eastAsia="Calibri" w:hAnsi="Calibri"/>
          <w:color w:val="222222"/>
          <w:sz w:val="19"/>
          <w:szCs w:val="19"/>
        </w:rPr>
        <w:t xml:space="preserve">Production deployment of the platform for ONE (1) program: branded learner portal, admin dashboard, certificates with public verification, AI support assistant (platform-scoped, clinical questions refused by design), feedback system.</w:t>
      </w:r>
    </w:p>
    <w:p>
      <w:pPr>
        <w:pStyle w:val="ListParagraph"/>
        <w:numPr>
          <w:ilvl w:val="0"/>
          <w:numId w:val="2"/>
        </w:numPr>
        <w:spacing w:after="45" w:line="244"/>
      </w:pPr>
      <w:r>
        <w:rPr>
          <w:rFonts w:ascii="Calibri" w:cs="Calibri" w:eastAsia="Calibri" w:hAnsi="Calibri"/>
          <w:color w:val="222222"/>
          <w:sz w:val="19"/>
          <w:szCs w:val="19"/>
        </w:rPr>
        <w:t xml:space="preserve">Course production: up to TWO (2) courses produced from Client-supplied training recordings via the Provider's authoring pipeline, human-reviewed, Client-approved before publication.</w:t>
      </w:r>
    </w:p>
    <w:p>
      <w:pPr>
        <w:pStyle w:val="ListParagraph"/>
        <w:numPr>
          <w:ilvl w:val="0"/>
          <w:numId w:val="2"/>
        </w:numPr>
        <w:spacing w:after="45" w:line="244"/>
      </w:pPr>
      <w:r>
        <w:rPr>
          <w:rFonts w:ascii="Calibri" w:cs="Calibri" w:eastAsia="Calibri" w:hAnsi="Calibri"/>
          <w:color w:val="222222"/>
          <w:sz w:val="19"/>
          <w:szCs w:val="19"/>
        </w:rPr>
        <w:t xml:space="preserve">Production hardening: backup &amp; recovery drill (documented), monitoring/alerting, automated test suite in CI, background-job isolation, rate limiting.</w:t>
      </w:r>
    </w:p>
    <w:p>
      <w:pPr>
        <w:pStyle w:val="ListParagraph"/>
        <w:numPr>
          <w:ilvl w:val="0"/>
          <w:numId w:val="2"/>
        </w:numPr>
        <w:spacing w:after="45" w:line="244"/>
      </w:pPr>
      <w:r>
        <w:rPr>
          <w:rFonts w:ascii="Calibri" w:cs="Calibri" w:eastAsia="Calibri" w:hAnsi="Calibri"/>
          <w:color w:val="222222"/>
          <w:sz w:val="19"/>
          <w:szCs w:val="19"/>
        </w:rPr>
        <w:t xml:space="preserve">Training-record exports (CSV) shaped to Client's reporting requirements; up to two export formats.</w:t>
      </w:r>
    </w:p>
    <w:p>
      <w:pPr>
        <w:pStyle w:val="ListParagraph"/>
        <w:numPr>
          <w:ilvl w:val="0"/>
          <w:numId w:val="2"/>
        </w:numPr>
        <w:spacing w:after="45" w:line="244"/>
      </w:pPr>
      <w:r>
        <w:rPr>
          <w:rFonts w:ascii="Calibri" w:cs="Calibri" w:eastAsia="Calibri" w:hAnsi="Calibri"/>
          <w:color w:val="222222"/>
          <w:sz w:val="19"/>
          <w:szCs w:val="19"/>
        </w:rPr>
        <w:t xml:space="preserve">Out of scope (separate SOW): additional programs/courses, offline PWA, WhatsApp notifications, SSO/SAML, additional languages beyond assistant language-mirroring, in-country hosting region, operated support desk.</w:t>
      </w:r>
    </w:p>
    <w:p>
      <w:pPr>
        <w:pBdr>
          <w:bottom w:val="single" w:color="0E7C7B" w:sz="6"/>
        </w:pBdr>
        <w:spacing w:after="80" w:before="190"/>
      </w:pPr>
      <w:r>
        <w:rPr>
          <w:rFonts w:ascii="Calibri" w:cs="Calibri" w:eastAsia="Calibri" w:hAnsi="Calibri"/>
          <w:b/>
          <w:bCs/>
          <w:color w:val="1B3A5C"/>
          <w:sz w:val="23"/>
          <w:szCs w:val="23"/>
        </w:rPr>
        <w:t xml:space="preserve">3. Client Responsibilities</w:t>
      </w:r>
    </w:p>
    <w:p>
      <w:pPr>
        <w:pStyle w:val="ListParagraph"/>
        <w:numPr>
          <w:ilvl w:val="0"/>
          <w:numId w:val="2"/>
        </w:numPr>
        <w:spacing w:after="45" w:line="244"/>
      </w:pPr>
      <w:r>
        <w:rPr>
          <w:rFonts w:ascii="Calibri" w:cs="Calibri" w:eastAsia="Calibri" w:hAnsi="Calibri"/>
          <w:color w:val="222222"/>
          <w:sz w:val="19"/>
          <w:szCs w:val="19"/>
        </w:rPr>
        <w:t xml:space="preserve">Deliver training recordings, brand assets, and a named reviewer with authority to approve content within five (5) business days of request.</w:t>
      </w:r>
    </w:p>
    <w:p>
      <w:pPr>
        <w:pStyle w:val="ListParagraph"/>
        <w:numPr>
          <w:ilvl w:val="0"/>
          <w:numId w:val="2"/>
        </w:numPr>
        <w:spacing w:after="45" w:line="244"/>
      </w:pPr>
      <w:r>
        <w:rPr>
          <w:rFonts w:ascii="Calibri" w:cs="Calibri" w:eastAsia="Calibri" w:hAnsi="Calibri"/>
          <w:color w:val="222222"/>
          <w:sz w:val="19"/>
          <w:szCs w:val="19"/>
        </w:rPr>
        <w:t xml:space="preserve">Content warranty: Client warrants all supplied training material contains NO identifiable patient data and is de-identified per applicable law. Provider may reject material pending remediation.</w:t>
      </w:r>
    </w:p>
    <w:p>
      <w:pPr>
        <w:pStyle w:val="ListParagraph"/>
        <w:numPr>
          <w:ilvl w:val="0"/>
          <w:numId w:val="2"/>
        </w:numPr>
        <w:spacing w:after="45" w:line="244"/>
      </w:pPr>
      <w:r>
        <w:rPr>
          <w:rFonts w:ascii="Calibri" w:cs="Calibri" w:eastAsia="Calibri" w:hAnsi="Calibri"/>
          <w:color w:val="222222"/>
          <w:sz w:val="19"/>
          <w:szCs w:val="19"/>
        </w:rPr>
        <w:t xml:space="preserve">Designate one point of contact empowered to make scope decisions.</w:t>
      </w:r>
    </w:p>
    <w:p>
      <w:pPr>
        <w:pBdr>
          <w:bottom w:val="single" w:color="0E7C7B" w:sz="6"/>
        </w:pBdr>
        <w:spacing w:after="80" w:before="190"/>
      </w:pPr>
      <w:r>
        <w:rPr>
          <w:rFonts w:ascii="Calibri" w:cs="Calibri" w:eastAsia="Calibri" w:hAnsi="Calibri"/>
          <w:b/>
          <w:bCs/>
          <w:color w:val="1B3A5C"/>
          <w:sz w:val="23"/>
          <w:szCs w:val="23"/>
        </w:rPr>
        <w:t xml:space="preserve">4. Timeline</w:t>
      </w:r>
    </w:p>
    <w:p>
      <w:pPr>
        <w:spacing w:after="75" w:line="248"/>
      </w:pPr>
      <w:r>
        <w:rPr>
          <w:rFonts w:ascii="Calibri" w:cs="Calibri" w:eastAsia="Calibri" w:hAnsi="Calibri"/>
          <w:color w:val="222222"/>
          <w:sz w:val="19"/>
          <w:szCs w:val="19"/>
        </w:rPr>
        <w:t xml:space="preserve">Pilot delivery: four to six (4–6) weeks from the later of (a) Effective Date and (b) receipt of all §3 items. Delays in Client dependencies extend the schedule day-for-day.</w:t>
      </w:r>
    </w:p>
    <w:p>
      <w:pPr>
        <w:pBdr>
          <w:bottom w:val="single" w:color="0E7C7B" w:sz="6"/>
        </w:pBdr>
        <w:spacing w:after="80" w:before="190"/>
      </w:pPr>
      <w:r>
        <w:rPr>
          <w:rFonts w:ascii="Calibri" w:cs="Calibri" w:eastAsia="Calibri" w:hAnsi="Calibri"/>
          <w:b/>
          <w:bCs/>
          <w:color w:val="1B3A5C"/>
          <w:sz w:val="23"/>
          <w:szCs w:val="23"/>
        </w:rPr>
        <w:t xml:space="preserve">5. Fees &amp; Payment</w:t>
      </w:r>
    </w:p>
    <w:p>
      <w:pPr>
        <w:spacing w:after="75" w:line="248"/>
      </w:pPr>
      <w:r>
        <w:rPr>
          <w:rFonts w:ascii="Calibri" w:cs="Calibri" w:eastAsia="Calibri" w:hAnsi="Calibri"/>
          <w:color w:val="222222"/>
          <w:sz w:val="19"/>
          <w:szCs w:val="19"/>
        </w:rPr>
        <w:t xml:space="preserve">Pilot setup fee: $__________ (one-time). Platform fee: $__________ per program per month, commencing at go-live. Payment terms: fifty percent (50%) of the setup fee due at signature (non-refundable once Task work begins); balance at go-live. Monthly fees invoiced in advance, net 15. AI usage beyond ______ assistant conversations/month billed at cost plus ____%.</w:t>
      </w:r>
    </w:p>
    <w:p>
      <w:pPr>
        <w:pBdr>
          <w:bottom w:val="single" w:color="0E7C7B" w:sz="6"/>
        </w:pBdr>
        <w:spacing w:after="80" w:before="190"/>
      </w:pPr>
      <w:r>
        <w:rPr>
          <w:rFonts w:ascii="Calibri" w:cs="Calibri" w:eastAsia="Calibri" w:hAnsi="Calibri"/>
          <w:b/>
          <w:bCs/>
          <w:color w:val="1B3A5C"/>
          <w:sz w:val="23"/>
          <w:szCs w:val="23"/>
        </w:rPr>
        <w:t xml:space="preserve">6. Intellectual Property &amp; License</w:t>
      </w:r>
    </w:p>
    <w:p>
      <w:pPr>
        <w:spacing w:after="75" w:line="248"/>
      </w:pPr>
      <w:r>
        <w:rPr>
          <w:rFonts w:ascii="Calibri" w:cs="Calibri" w:eastAsia="Calibri" w:hAnsi="Calibri"/>
          <w:color w:val="222222"/>
          <w:sz w:val="19"/>
          <w:szCs w:val="19"/>
        </w:rPr>
        <w:t xml:space="preserve">The platform, its source code, and all improvements remain the sole property of Provider. Client receives a non-exclusive, non-transferable license to use the hosted platform for the program(s) covered by this SOW during the term. Client content (recordings, course text approved by Client, Client marks) remains Client's property, licensed to Provider solely to operate the service. No source code is delivered or escrowed under this SOW; escrow is available under separate terms.</w:t>
      </w:r>
    </w:p>
    <w:p>
      <w:pPr>
        <w:pBdr>
          <w:bottom w:val="single" w:color="0E7C7B" w:sz="6"/>
        </w:pBdr>
        <w:spacing w:after="80" w:before="190"/>
      </w:pPr>
      <w:r>
        <w:rPr>
          <w:rFonts w:ascii="Calibri" w:cs="Calibri" w:eastAsia="Calibri" w:hAnsi="Calibri"/>
          <w:b/>
          <w:bCs/>
          <w:color w:val="1B3A5C"/>
          <w:sz w:val="23"/>
          <w:szCs w:val="23"/>
        </w:rPr>
        <w:t xml:space="preserve">7. Data Protection</w:t>
      </w:r>
    </w:p>
    <w:p>
      <w:pPr>
        <w:spacing w:after="75" w:line="248"/>
      </w:pPr>
      <w:r>
        <w:rPr>
          <w:rFonts w:ascii="Calibri" w:cs="Calibri" w:eastAsia="Calibri" w:hAnsi="Calibri"/>
          <w:color w:val="222222"/>
          <w:sz w:val="19"/>
          <w:szCs w:val="19"/>
        </w:rPr>
        <w:t xml:space="preserve">The platform processes workforce training records only. The parties will execute the Data Processing Agreement attached to the MSA. Upon termination, Provider furnishes a complete export (CSV/JSON) within fifteen (15) days and deletes Client data within thirty (30) days thereafter, subject to legal holds.</w:t>
      </w:r>
    </w:p>
    <w:p>
      <w:pPr>
        <w:pBdr>
          <w:bottom w:val="single" w:color="0E7C7B" w:sz="6"/>
        </w:pBdr>
        <w:spacing w:after="80" w:before="190"/>
      </w:pPr>
      <w:r>
        <w:rPr>
          <w:rFonts w:ascii="Calibri" w:cs="Calibri" w:eastAsia="Calibri" w:hAnsi="Calibri"/>
          <w:b/>
          <w:bCs/>
          <w:color w:val="1B3A5C"/>
          <w:sz w:val="23"/>
          <w:szCs w:val="23"/>
        </w:rPr>
        <w:t xml:space="preserve">8. Term, Termination, Liability</w:t>
      </w:r>
    </w:p>
    <w:p>
      <w:pPr>
        <w:spacing w:after="75" w:line="248"/>
      </w:pPr>
      <w:r>
        <w:rPr>
          <w:rFonts w:ascii="Calibri" w:cs="Calibri" w:eastAsia="Calibri" w:hAnsi="Calibri"/>
          <w:color w:val="222222"/>
          <w:sz w:val="19"/>
          <w:szCs w:val="19"/>
        </w:rPr>
        <w:t xml:space="preserve">Either party may terminate this SOW on thirty (30) days' written notice. Fees for work performed are earned and non-refundable. EXCEPT FOR BREACH OF §3 CONTENT WARRANTY OR CONFIDENTIALITY, EACH PARTY'S TOTAL LIABILITY UNDER THIS SOW IS CAPPED AT THE LESSER OF FEES PAID IN THE PRIOR TWELVE (12) MONTHS OR $50,000.</w:t>
      </w:r>
    </w:p>
    <w:p>
      <w:pPr>
        <w:pBdr>
          <w:bottom w:val="single" w:color="0E7C7B" w:sz="6"/>
        </w:pBdr>
        <w:spacing w:after="80" w:before="190"/>
      </w:pPr>
      <w:r>
        <w:rPr>
          <w:rFonts w:ascii="Calibri" w:cs="Calibri" w:eastAsia="Calibri" w:hAnsi="Calibri"/>
          <w:b/>
          <w:bCs/>
          <w:color w:val="1B3A5C"/>
          <w:sz w:val="23"/>
          <w:szCs w:val="23"/>
        </w:rPr>
        <w:t xml:space="preserve">9. Acceptance</w:t>
      </w:r>
    </w:p>
    <w:p>
      <w:pPr>
        <w:spacing w:after="75" w:line="248"/>
      </w:pPr>
      <w:r>
        <w:rPr>
          <w:rFonts w:ascii="Calibri" w:cs="Calibri" w:eastAsia="Calibri" w:hAnsi="Calibri"/>
          <w:color w:val="222222"/>
          <w:sz w:val="19"/>
          <w:szCs w:val="19"/>
        </w:rPr>
        <w:t xml:space="preserve">Pilot is accepted when the go-live checklist (Appendix A: golden path functional, RLS test suite green, restore drill documented, two courses live, exports validated by Client) is jointly signed. Client has ten (10) business days to review; absence of written rejection constitutes acceptance.</w:t>
      </w:r>
    </w:p>
    <w:p>
      <w:pPr>
        <w:spacing w:after="0" w:line="248"/>
      </w:pPr>
      <w:r>
        <w:rPr>
          <w:rFonts w:ascii="Calibri" w:cs="Calibri" w:eastAsia="Calibri" w:hAnsi="Calibri"/>
          <w:color w:val="222222"/>
          <w:sz w:val="19"/>
          <w:szCs w:val="19"/>
        </w:rPr>
        <w:t xml:space="preserve">Provider: ______________________  Date: ________        Client: ______________________  Date: ________</w:t>
      </w:r>
    </w:p>
    <w:sectPr>
      <w:pgSz w:w="12240" w:h="15840" w:orient="portrait"/>
      <w:pgMar w:top="680" w:right="960" w:bottom="68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0" w:hanging="1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2026-07-09T03:04:11.755Z</dcterms:created>
  <dcterms:modified xsi:type="dcterms:W3CDTF">2026-07-09T03:04:11.755Z</dcterms:modified>
</cp:coreProperties>
</file>

<file path=docProps/custom.xml><?xml version="1.0" encoding="utf-8"?>
<Properties xmlns="http://schemas.openxmlformats.org/officeDocument/2006/custom-properties" xmlns:vt="http://schemas.openxmlformats.org/officeDocument/2006/docPropsVTypes"/>
</file>