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pPr>
      <w:r>
        <w:rPr>
          <w:rFonts w:ascii="Calibri" w:cs="Calibri" w:eastAsia="Calibri" w:hAnsi="Calibri"/>
          <w:b/>
          <w:bCs/>
          <w:color w:val="1B3A5C"/>
          <w:sz w:val="36"/>
          <w:szCs w:val="36"/>
        </w:rPr>
        <w:t xml:space="preserve">TRAINING &amp; CERTIFICATION PLATFORM</w:t>
      </w:r>
    </w:p>
    <w:p>
      <w:pPr>
        <w:spacing w:after="50"/>
      </w:pPr>
      <w:r>
        <w:rPr>
          <w:rFonts w:ascii="Calibri" w:cs="Calibri" w:eastAsia="Calibri" w:hAnsi="Calibri"/>
          <w:i/>
          <w:iCs/>
          <w:color w:val="0E7C7B"/>
          <w:sz w:val="22"/>
          <w:szCs w:val="22"/>
        </w:rPr>
        <w:t xml:space="preserve">Product &amp; Delivery Plan — White-Label Enablement for Medical AI Deployments</w:t>
      </w:r>
    </w:p>
    <w:p>
      <w:pPr>
        <w:spacing w:after="60" w:line="254"/>
      </w:pPr>
      <w:r>
        <w:rPr>
          <w:rFonts w:ascii="Calibri" w:cs="Calibri" w:eastAsia="Calibri" w:hAnsi="Calibri"/>
          <w:color w:val="555555"/>
          <w:sz w:val="16"/>
          <w:szCs w:val="16"/>
        </w:rPr>
        <w:t xml:space="preserve">Prepared by Akram Mohammed  |  July 2026  |  For partner review</w:t>
      </w:r>
    </w:p>
    <w:p>
      <w:pPr>
        <w:pBdr>
          <w:bottom w:val="single" w:color="0E7C7B" w:sz="8"/>
        </w:pBdr>
        <w:spacing w:after="100" w:before="240"/>
      </w:pPr>
      <w:r>
        <w:rPr>
          <w:rFonts w:ascii="Calibri" w:cs="Calibri" w:eastAsia="Calibri" w:hAnsi="Calibri"/>
          <w:b/>
          <w:bCs/>
          <w:color w:val="1B3A5C"/>
          <w:sz w:val="26"/>
          <w:szCs w:val="26"/>
        </w:rPr>
        <w:t xml:space="preserve">1. The Problem This Solves</w:t>
      </w:r>
    </w:p>
    <w:p>
      <w:pPr>
        <w:spacing w:after="85" w:line="254"/>
      </w:pPr>
      <w:r>
        <w:rPr>
          <w:rFonts w:ascii="Calibri" w:cs="Calibri" w:eastAsia="Calibri" w:hAnsi="Calibri"/>
          <w:color w:val="222222"/>
          <w:sz w:val="20"/>
          <w:szCs w:val="20"/>
        </w:rPr>
        <w:t xml:space="preserve">Every medical AI deployment — a hospital rollout, a screening program, a national platform — depends on correctly trained operators: radiologists, technicians, nurses, field staff, and administrators. Today that training is delivered through repeated live sessions and scattered documents, with no verifiable record of who is trained on what. For government and enterprise engagements this creates three costs: slow go-lives, a heavy first-line support burden on the deployment team, and a compliance gap — no exportable proof of workforce readiness when a health authority or auditor asks for it.</w:t>
      </w:r>
    </w:p>
    <w:p>
      <w:pPr>
        <w:pBdr>
          <w:bottom w:val="single" w:color="0E7C7B" w:sz="8"/>
        </w:pBdr>
        <w:spacing w:after="100" w:before="240"/>
      </w:pPr>
      <w:r>
        <w:rPr>
          <w:rFonts w:ascii="Calibri" w:cs="Calibri" w:eastAsia="Calibri" w:hAnsi="Calibri"/>
          <w:b/>
          <w:bCs/>
          <w:color w:val="1B3A5C"/>
          <w:sz w:val="26"/>
          <w:szCs w:val="26"/>
        </w:rPr>
        <w:t xml:space="preserve">2. The Platform</w:t>
      </w:r>
    </w:p>
    <w:p>
      <w:pPr>
        <w:spacing w:after="85" w:line="254"/>
      </w:pPr>
      <w:r>
        <w:rPr>
          <w:rFonts w:ascii="Calibri" w:cs="Calibri" w:eastAsia="Calibri" w:hAnsi="Calibri"/>
          <w:color w:val="222222"/>
          <w:sz w:val="20"/>
          <w:szCs w:val="20"/>
        </w:rPr>
        <w:t xml:space="preserve">A white-label training, certification, and support platform. Trainees log in from any device, complete structured video courses with step-by-step modules and quizzes, are signed off on practical skills by a supervisor, and earn verifiable certificates. Administrators see live completion dashboards per program and facility, and export training records for compliance. The platform carries the deploying organization’s brand end to end.</w:t>
      </w:r>
    </w:p>
    <w:p>
      <w:pPr>
        <w:spacing w:after="60" w:before="150"/>
      </w:pPr>
      <w:r>
        <w:rPr>
          <w:rFonts w:ascii="Calibri" w:cs="Calibri" w:eastAsia="Calibri" w:hAnsi="Calibri"/>
          <w:b/>
          <w:bCs/>
          <w:color w:val="0E7C7B"/>
          <w:sz w:val="21"/>
          <w:szCs w:val="21"/>
        </w:rPr>
        <w:t xml:space="preserve">What is included</w:t>
      </w:r>
    </w:p>
    <w:p>
      <w:pPr>
        <w:pStyle w:val="ListParagraph"/>
        <w:numPr>
          <w:ilvl w:val="0"/>
          <w:numId w:val="2"/>
        </w:numPr>
        <w:spacing w:after="55" w:line="250"/>
      </w:pPr>
      <w:r>
        <w:rPr>
          <w:rFonts w:ascii="Calibri" w:cs="Calibri" w:eastAsia="Calibri" w:hAnsi="Calibri"/>
          <w:b/>
          <w:bCs/>
          <w:color w:val="222222"/>
          <w:sz w:val="20"/>
          <w:szCs w:val="20"/>
        </w:rPr>
        <w:t xml:space="preserve">Role-based course tracks: </w:t>
      </w:r>
      <w:r>
        <w:rPr>
          <w:rFonts w:ascii="Calibri" w:cs="Calibri" w:eastAsia="Calibri" w:hAnsi="Calibri"/>
          <w:color w:val="222222"/>
          <w:sz w:val="20"/>
          <w:szCs w:val="20"/>
        </w:rPr>
        <w:t xml:space="preserve">separate curricula for technicians, radiologists, physicians, and administrators — matching how clinical teams are actually structured.</w:t>
      </w:r>
    </w:p>
    <w:p>
      <w:pPr>
        <w:pStyle w:val="ListParagraph"/>
        <w:numPr>
          <w:ilvl w:val="0"/>
          <w:numId w:val="2"/>
        </w:numPr>
        <w:spacing w:after="55" w:line="250"/>
      </w:pPr>
      <w:r>
        <w:rPr>
          <w:rFonts w:ascii="Calibri" w:cs="Calibri" w:eastAsia="Calibri" w:hAnsi="Calibri"/>
          <w:b/>
          <w:bCs/>
          <w:color w:val="222222"/>
          <w:sz w:val="20"/>
          <w:szCs w:val="20"/>
        </w:rPr>
        <w:t xml:space="preserve">AI course production pipeline: </w:t>
      </w:r>
      <w:r>
        <w:rPr>
          <w:rFonts w:ascii="Calibri" w:cs="Calibri" w:eastAsia="Calibri" w:hAnsi="Calibri"/>
          <w:color w:val="222222"/>
          <w:sz w:val="20"/>
          <w:szCs w:val="20"/>
        </w:rPr>
        <w:t xml:space="preserve">raw training recordings go in; structured module-length lessons, step-by-step guides, quiz questions, and help-center content come out — drafted by AI, reviewed and approved by a human before anything publishes. This turns weeks of content work into days.</w:t>
      </w:r>
    </w:p>
    <w:p>
      <w:pPr>
        <w:pStyle w:val="ListParagraph"/>
        <w:numPr>
          <w:ilvl w:val="0"/>
          <w:numId w:val="2"/>
        </w:numPr>
        <w:spacing w:after="55" w:line="250"/>
      </w:pPr>
      <w:r>
        <w:rPr>
          <w:rFonts w:ascii="Calibri" w:cs="Calibri" w:eastAsia="Calibri" w:hAnsi="Calibri"/>
          <w:b/>
          <w:bCs/>
          <w:color w:val="222222"/>
          <w:sz w:val="20"/>
          <w:szCs w:val="20"/>
        </w:rPr>
        <w:t xml:space="preserve">Practical competency sign-off: </w:t>
      </w:r>
      <w:r>
        <w:rPr>
          <w:rFonts w:ascii="Calibri" w:cs="Calibri" w:eastAsia="Calibri" w:hAnsi="Calibri"/>
          <w:color w:val="222222"/>
          <w:sz w:val="20"/>
          <w:szCs w:val="20"/>
        </w:rPr>
        <w:t xml:space="preserve">a supervisor checklist completed on a phone, so certification means watched + tested + observed performing the workflow — the standard field health programs actually run on.</w:t>
      </w:r>
    </w:p>
    <w:p>
      <w:pPr>
        <w:pStyle w:val="ListParagraph"/>
        <w:numPr>
          <w:ilvl w:val="0"/>
          <w:numId w:val="2"/>
        </w:numPr>
        <w:spacing w:after="55" w:line="250"/>
      </w:pPr>
      <w:r>
        <w:rPr>
          <w:rFonts w:ascii="Calibri" w:cs="Calibri" w:eastAsia="Calibri" w:hAnsi="Calibri"/>
          <w:b/>
          <w:bCs/>
          <w:color w:val="222222"/>
          <w:sz w:val="20"/>
          <w:szCs w:val="20"/>
        </w:rPr>
        <w:t xml:space="preserve">Certificates that behave like credentials: </w:t>
      </w:r>
      <w:r>
        <w:rPr>
          <w:rFonts w:ascii="Calibri" w:cs="Calibri" w:eastAsia="Calibri" w:hAnsi="Calibri"/>
          <w:color w:val="222222"/>
          <w:sz w:val="20"/>
          <w:szCs w:val="20"/>
        </w:rPr>
        <w:t xml:space="preserve">unique IDs, QR-coded public verification pages anyone can check, expiry dates with recertification cycles, and version links so a product update can flag who needs a refresher.</w:t>
      </w:r>
    </w:p>
    <w:p>
      <w:pPr>
        <w:pStyle w:val="ListParagraph"/>
        <w:numPr>
          <w:ilvl w:val="0"/>
          <w:numId w:val="2"/>
        </w:numPr>
        <w:spacing w:after="55" w:line="250"/>
      </w:pPr>
      <w:r>
        <w:rPr>
          <w:rFonts w:ascii="Calibri" w:cs="Calibri" w:eastAsia="Calibri" w:hAnsi="Calibri"/>
          <w:b/>
          <w:bCs/>
          <w:color w:val="222222"/>
          <w:sz w:val="20"/>
          <w:szCs w:val="20"/>
        </w:rPr>
        <w:t xml:space="preserve">Built-in AI support assistant: </w:t>
      </w:r>
      <w:r>
        <w:rPr>
          <w:rFonts w:ascii="Calibri" w:cs="Calibri" w:eastAsia="Calibri" w:hAnsi="Calibri"/>
          <w:color w:val="222222"/>
          <w:sz w:val="20"/>
          <w:szCs w:val="20"/>
        </w:rPr>
        <w:t xml:space="preserve">answers course, login, and platform questions in the user’s own language, with links to the right lesson — and is strictly limited to platform support: it will not answer clinical or diagnostic questions, by hard design rule.</w:t>
      </w:r>
    </w:p>
    <w:p>
      <w:pPr>
        <w:pStyle w:val="ListParagraph"/>
        <w:numPr>
          <w:ilvl w:val="0"/>
          <w:numId w:val="2"/>
        </w:numPr>
        <w:spacing w:after="55" w:line="250"/>
      </w:pPr>
      <w:r>
        <w:rPr>
          <w:rFonts w:ascii="Calibri" w:cs="Calibri" w:eastAsia="Calibri" w:hAnsi="Calibri"/>
          <w:b/>
          <w:bCs/>
          <w:color w:val="222222"/>
          <w:sz w:val="20"/>
          <w:szCs w:val="20"/>
        </w:rPr>
        <w:t xml:space="preserve">Compliance &amp; analytics: </w:t>
      </w:r>
      <w:r>
        <w:rPr>
          <w:rFonts w:ascii="Calibri" w:cs="Calibri" w:eastAsia="Calibri" w:hAnsi="Calibri"/>
          <w:color w:val="222222"/>
          <w:sz w:val="20"/>
          <w:szCs w:val="20"/>
        </w:rPr>
        <w:t xml:space="preserve">enrollment, progress, completion rates, quiz-difficulty hotspots, and exportable training records per program, facility, and role — formatted for health-authority reporting.</w:t>
      </w:r>
    </w:p>
    <w:p>
      <w:pPr>
        <w:pStyle w:val="ListParagraph"/>
        <w:numPr>
          <w:ilvl w:val="0"/>
          <w:numId w:val="2"/>
        </w:numPr>
        <w:spacing w:after="55" w:line="250"/>
      </w:pPr>
      <w:r>
        <w:rPr>
          <w:rFonts w:ascii="Calibri" w:cs="Calibri" w:eastAsia="Calibri" w:hAnsi="Calibri"/>
          <w:b/>
          <w:bCs/>
          <w:color w:val="222222"/>
          <w:sz w:val="20"/>
          <w:szCs w:val="20"/>
        </w:rPr>
        <w:t xml:space="preserve">Built for field reality: </w:t>
      </w:r>
      <w:r>
        <w:rPr>
          <w:rFonts w:ascii="Calibri" w:cs="Calibri" w:eastAsia="Calibri" w:hAnsi="Calibri"/>
          <w:color w:val="222222"/>
          <w:sz w:val="20"/>
          <w:szCs w:val="20"/>
        </w:rPr>
        <w:t xml:space="preserve">designed for low bandwidth (works on 3G, no autoplay, functional even when video fails), with installable app experience and offline module caching on the roadmap for mobile screening environments.</w:t>
      </w:r>
    </w:p>
    <w:p>
      <w:pPr>
        <w:pBdr>
          <w:bottom w:val="single" w:color="0E7C7B" w:sz="8"/>
        </w:pBdr>
        <w:spacing w:after="100" w:before="240"/>
      </w:pPr>
      <w:r>
        <w:rPr>
          <w:rFonts w:ascii="Calibri" w:cs="Calibri" w:eastAsia="Calibri" w:hAnsi="Calibri"/>
          <w:b/>
          <w:bCs/>
          <w:color w:val="1B3A5C"/>
          <w:sz w:val="26"/>
          <w:szCs w:val="26"/>
        </w:rPr>
        <w:t xml:space="preserve">3. Who Benefits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c>
          <w:tcPr>
            <w:tcW w:type="dxa" w:w="2400"/>
            <w:shd w:fill="1B3A5C" w:val="clear"/>
            <w:tcMar>
              <w:top w:type="dxa" w:w="50"/>
              <w:left w:type="dxa" w:w="95"/>
              <w:bottom w:type="dxa" w:w="50"/>
              <w:right w:type="dxa" w:w="95"/>
            </w:tcMar>
          </w:tcPr>
          <w:p>
            <w:pPr>
              <w:spacing w:after="0" w:line="240"/>
            </w:pPr>
            <w:r>
              <w:rPr>
                <w:rFonts w:ascii="Calibri" w:cs="Calibri" w:eastAsia="Calibri" w:hAnsi="Calibri"/>
                <w:b/>
                <w:bCs/>
                <w:color w:val="FFFFFF"/>
                <w:sz w:val="17"/>
                <w:szCs w:val="17"/>
              </w:rPr>
              <w:t xml:space="preserve">Stakeholder</w:t>
            </w:r>
          </w:p>
        </w:tc>
        <w:tc>
          <w:tcPr>
            <w:tcW w:type="dxa" w:w="6960"/>
            <w:shd w:fill="1B3A5C" w:val="clear"/>
            <w:tcMar>
              <w:top w:type="dxa" w:w="50"/>
              <w:left w:type="dxa" w:w="95"/>
              <w:bottom w:type="dxa" w:w="50"/>
              <w:right w:type="dxa" w:w="95"/>
            </w:tcMar>
          </w:tcPr>
          <w:p>
            <w:pPr>
              <w:spacing w:after="0" w:line="240"/>
            </w:pPr>
            <w:r>
              <w:rPr>
                <w:rFonts w:ascii="Calibri" w:cs="Calibri" w:eastAsia="Calibri" w:hAnsi="Calibri"/>
                <w:b/>
                <w:bCs/>
                <w:color w:val="FFFFFF"/>
                <w:sz w:val="17"/>
                <w:szCs w:val="17"/>
              </w:rPr>
              <w:t xml:space="preserve">Value</w:t>
            </w:r>
          </w:p>
        </w:tc>
      </w:tr>
      <w:tr>
        <w:tc>
          <w:tcPr>
            <w:tcW w:type="dxa" w:w="240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The AI vendor</w:t>
            </w:r>
          </w:p>
        </w:tc>
        <w:tc>
          <w:tcPr>
            <w:tcW w:type="dxa" w:w="696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Faster deployments; a branded academy; documented operator competency attached to every contract; a certification ecosystem that deepens customer relationships</w:t>
            </w:r>
          </w:p>
        </w:tc>
      </w:tr>
      <w:tr>
        <w:tc>
          <w:tcPr>
            <w:tcW w:type="dxa" w:w="240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The deployment / delivery partner</w:t>
            </w:r>
          </w:p>
        </w:tc>
        <w:tc>
          <w:tcPr>
            <w:tcW w:type="dxa" w:w="696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Self-serve onboarding cuts repeated live sessions and first-line support load; national-scale training without flying trainers; ready-made compliance reporting to the health authority</w:t>
            </w:r>
          </w:p>
        </w:tc>
      </w:tr>
      <w:tr>
        <w:tc>
          <w:tcPr>
            <w:tcW w:type="dxa" w:w="240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The government / hospital buyer</w:t>
            </w:r>
          </w:p>
        </w:tc>
        <w:tc>
          <w:tcPr>
            <w:tcW w:type="dxa" w:w="696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Verifiable certificates, recertification cycles that survive staff churn, facility-level dashboards, exportable proof of workforce readiness</w:t>
            </w:r>
          </w:p>
        </w:tc>
      </w:tr>
      <w:tr>
        <w:tc>
          <w:tcPr>
            <w:tcW w:type="dxa" w:w="240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Frontline staff</w:t>
            </w:r>
          </w:p>
        </w:tc>
        <w:tc>
          <w:tcPr>
            <w:tcW w:type="dxa" w:w="696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Self-paced learning on any device, in low-bandwidth settings, with an assistant that answers questions in their language</w:t>
            </w:r>
          </w:p>
        </w:tc>
      </w:tr>
    </w:tbl>
    <w:p>
      <w:pPr>
        <w:pBdr>
          <w:bottom w:val="single" w:color="0E7C7B" w:sz="8"/>
        </w:pBdr>
        <w:spacing w:after="100" w:before="240"/>
      </w:pPr>
      <w:r>
        <w:rPr>
          <w:rFonts w:ascii="Calibri" w:cs="Calibri" w:eastAsia="Calibri" w:hAnsi="Calibri"/>
          <w:b/>
          <w:bCs/>
          <w:color w:val="1B3A5C"/>
          <w:sz w:val="26"/>
          <w:szCs w:val="26"/>
        </w:rPr>
        <w:t xml:space="preserve">4. Delivery Plan</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900"/>
        <w:gridCol w:w="5300"/>
        <w:gridCol w:w="2160"/>
      </w:tblGrid>
      <w:tr>
        <w:tc>
          <w:tcPr>
            <w:tcW w:type="dxa" w:w="1900"/>
            <w:shd w:fill="1B3A5C" w:val="clear"/>
            <w:tcMar>
              <w:top w:type="dxa" w:w="50"/>
              <w:left w:type="dxa" w:w="95"/>
              <w:bottom w:type="dxa" w:w="50"/>
              <w:right w:type="dxa" w:w="95"/>
            </w:tcMar>
          </w:tcPr>
          <w:p>
            <w:pPr>
              <w:spacing w:after="0" w:line="240"/>
            </w:pPr>
            <w:r>
              <w:rPr>
                <w:rFonts w:ascii="Calibri" w:cs="Calibri" w:eastAsia="Calibri" w:hAnsi="Calibri"/>
                <w:b/>
                <w:bCs/>
                <w:color w:val="FFFFFF"/>
                <w:sz w:val="17"/>
                <w:szCs w:val="17"/>
              </w:rPr>
              <w:t xml:space="preserve">Phase</w:t>
            </w:r>
          </w:p>
        </w:tc>
        <w:tc>
          <w:tcPr>
            <w:tcW w:type="dxa" w:w="5300"/>
            <w:shd w:fill="1B3A5C" w:val="clear"/>
            <w:tcMar>
              <w:top w:type="dxa" w:w="50"/>
              <w:left w:type="dxa" w:w="95"/>
              <w:bottom w:type="dxa" w:w="50"/>
              <w:right w:type="dxa" w:w="95"/>
            </w:tcMar>
          </w:tcPr>
          <w:p>
            <w:pPr>
              <w:spacing w:after="0" w:line="240"/>
            </w:pPr>
            <w:r>
              <w:rPr>
                <w:rFonts w:ascii="Calibri" w:cs="Calibri" w:eastAsia="Calibri" w:hAnsi="Calibri"/>
                <w:b/>
                <w:bCs/>
                <w:color w:val="FFFFFF"/>
                <w:sz w:val="17"/>
                <w:szCs w:val="17"/>
              </w:rPr>
              <w:t xml:space="preserve">Scope</w:t>
            </w:r>
          </w:p>
        </w:tc>
        <w:tc>
          <w:tcPr>
            <w:tcW w:type="dxa" w:w="2160"/>
            <w:shd w:fill="1B3A5C" w:val="clear"/>
            <w:tcMar>
              <w:top w:type="dxa" w:w="50"/>
              <w:left w:type="dxa" w:w="95"/>
              <w:bottom w:type="dxa" w:w="50"/>
              <w:right w:type="dxa" w:w="95"/>
            </w:tcMar>
          </w:tcPr>
          <w:p>
            <w:pPr>
              <w:spacing w:after="0" w:line="240"/>
            </w:pPr>
            <w:r>
              <w:rPr>
                <w:rFonts w:ascii="Calibri" w:cs="Calibri" w:eastAsia="Calibri" w:hAnsi="Calibri"/>
                <w:b/>
                <w:bCs/>
                <w:color w:val="FFFFFF"/>
                <w:sz w:val="17"/>
                <w:szCs w:val="17"/>
              </w:rPr>
              <w:t xml:space="preserve">Timeline</w:t>
            </w:r>
          </w:p>
        </w:tc>
      </w:tr>
      <w:tr>
        <w:tc>
          <w:tcPr>
            <w:tcW w:type="dxa" w:w="190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Working demo</w:t>
            </w:r>
          </w:p>
        </w:tc>
        <w:tc>
          <w:tcPr>
            <w:tcW w:type="dxa" w:w="530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Fully functional platform with login access for your review: one flagship course, quizzes, supervisor sign-off, certificates with public verification, admin dashboard with records export, the AI assistant, and program-level white-labeling — presented at no cost. A guided tour and in-app feedback capture are built in so your review drives the next phase.</w:t>
            </w:r>
          </w:p>
        </w:tc>
        <w:tc>
          <w:tcPr>
            <w:tcW w:type="dxa" w:w="216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3–4 weeks</w:t>
            </w:r>
          </w:p>
        </w:tc>
      </w:tr>
      <w:tr>
        <w:tc>
          <w:tcPr>
            <w:tcW w:type="dxa" w:w="190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Pilot</w:t>
            </w:r>
          </w:p>
        </w:tc>
        <w:tc>
          <w:tcPr>
            <w:tcW w:type="dxa" w:w="530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Production deployment with real course content (produced through the AI pipeline from your training recordings), your branding, production-grade hardening (backups &amp; recovery drills, monitoring, automated testing, background processing), and training-record exports shaped to your reporting needs.</w:t>
            </w:r>
          </w:p>
        </w:tc>
        <w:tc>
          <w:tcPr>
            <w:tcW w:type="dxa" w:w="216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4–6 weeks from go-ahead</w:t>
            </w:r>
          </w:p>
        </w:tc>
      </w:tr>
      <w:tr>
        <w:tc>
          <w:tcPr>
            <w:tcW w:type="dxa" w:w="190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Rollout</w:t>
            </w:r>
          </w:p>
        </w:tc>
        <w:tc>
          <w:tcPr>
            <w:tcW w:type="dxa" w:w="530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Additional programs and courses, train-the-trainer cohorts, offline/installable app for field teams, WhatsApp completion &amp; expiry notifications, additional languages, SSO, and per-deployment hosting regions as contracts require.</w:t>
            </w:r>
          </w:p>
        </w:tc>
        <w:tc>
          <w:tcPr>
            <w:tcW w:type="dxa" w:w="2160"/>
            <w:tcMar>
              <w:top w:type="dxa" w:w="50"/>
              <w:left w:type="dxa" w:w="95"/>
              <w:bottom w:type="dxa" w:w="50"/>
              <w:right w:type="dxa" w:w="95"/>
            </w:tcMar>
          </w:tcPr>
          <w:p>
            <w:pPr>
              <w:spacing w:after="0" w:line="240"/>
            </w:pPr>
            <w:r>
              <w:rPr>
                <w:rFonts w:ascii="Calibri" w:cs="Calibri" w:eastAsia="Calibri" w:hAnsi="Calibri"/>
                <w:b w:val="false"/>
                <w:bCs w:val="false"/>
                <w:color w:val="222222"/>
                <w:sz w:val="17"/>
                <w:szCs w:val="17"/>
              </w:rPr>
              <w:t xml:space="preserve">Ongoing</w:t>
            </w:r>
          </w:p>
        </w:tc>
      </w:tr>
    </w:tbl>
    <w:p>
      <w:pPr>
        <w:spacing w:after="55"/>
      </w:pPr>
    </w:p>
    <w:p>
      <w:pPr>
        <w:spacing w:after="85" w:line="254"/>
      </w:pPr>
      <w:r>
        <w:rPr>
          <w:rFonts w:ascii="Calibri" w:cs="Calibri" w:eastAsia="Calibri" w:hAnsi="Calibri"/>
          <w:i/>
          <w:iCs/>
          <w:color w:val="555555"/>
          <w:sz w:val="18"/>
          <w:szCs w:val="18"/>
        </w:rPr>
        <w:t xml:space="preserve">Commercial structure is discussed after demo review; the typical model is a fixed pilot fee plus a monthly platform retainer per program, with content production and support services scoped separately. The demo phase carries no cost or obligation.</w:t>
      </w:r>
    </w:p>
    <w:p>
      <w:pPr>
        <w:pBdr>
          <w:bottom w:val="single" w:color="0E7C7B" w:sz="8"/>
        </w:pBdr>
        <w:spacing w:after="100" w:before="240"/>
      </w:pPr>
      <w:r>
        <w:rPr>
          <w:rFonts w:ascii="Calibri" w:cs="Calibri" w:eastAsia="Calibri" w:hAnsi="Calibri"/>
          <w:b/>
          <w:bCs/>
          <w:color w:val="1B3A5C"/>
          <w:sz w:val="26"/>
          <w:szCs w:val="26"/>
        </w:rPr>
        <w:t xml:space="preserve">5. What We Need From You</w:t>
      </w:r>
    </w:p>
    <w:p>
      <w:pPr>
        <w:pStyle w:val="ListParagraph"/>
        <w:numPr>
          <w:ilvl w:val="0"/>
          <w:numId w:val="2"/>
        </w:numPr>
        <w:spacing w:after="55" w:line="250"/>
      </w:pPr>
      <w:r>
        <w:rPr>
          <w:rFonts w:ascii="Calibri" w:cs="Calibri" w:eastAsia="Calibri" w:hAnsi="Calibri"/>
          <w:b/>
          <w:bCs/>
          <w:color w:val="222222"/>
          <w:sz w:val="20"/>
          <w:szCs w:val="20"/>
        </w:rPr>
        <w:t xml:space="preserve">Training material: </w:t>
      </w:r>
      <w:r>
        <w:rPr>
          <w:rFonts w:ascii="Calibri" w:cs="Calibri" w:eastAsia="Calibri" w:hAnsi="Calibri"/>
          <w:color w:val="222222"/>
          <w:sz w:val="20"/>
          <w:szCs w:val="20"/>
        </w:rPr>
        <w:t xml:space="preserve">existing training recordings or session videos (any format; long recordings are fine — the pipeline segments them). Sample material for the demo; the full library at pilot.</w:t>
      </w:r>
    </w:p>
    <w:p>
      <w:pPr>
        <w:pStyle w:val="ListParagraph"/>
        <w:numPr>
          <w:ilvl w:val="0"/>
          <w:numId w:val="2"/>
        </w:numPr>
        <w:spacing w:after="55" w:line="250"/>
      </w:pPr>
      <w:r>
        <w:rPr>
          <w:rFonts w:ascii="Calibri" w:cs="Calibri" w:eastAsia="Calibri" w:hAnsi="Calibri"/>
          <w:b/>
          <w:bCs/>
          <w:color w:val="222222"/>
          <w:sz w:val="20"/>
          <w:szCs w:val="20"/>
        </w:rPr>
        <w:t xml:space="preserve">Brand assets: </w:t>
      </w:r>
      <w:r>
        <w:rPr>
          <w:rFonts w:ascii="Calibri" w:cs="Calibri" w:eastAsia="Calibri" w:hAnsi="Calibri"/>
          <w:color w:val="222222"/>
          <w:sz w:val="20"/>
          <w:szCs w:val="20"/>
        </w:rPr>
        <w:t xml:space="preserve">logo files and brand colors for the platform and certificates (placeholder branding is used until provided).</w:t>
      </w:r>
    </w:p>
    <w:p>
      <w:pPr>
        <w:pStyle w:val="ListParagraph"/>
        <w:numPr>
          <w:ilvl w:val="0"/>
          <w:numId w:val="2"/>
        </w:numPr>
        <w:spacing w:after="55" w:line="250"/>
      </w:pPr>
      <w:r>
        <w:rPr>
          <w:rFonts w:ascii="Calibri" w:cs="Calibri" w:eastAsia="Calibri" w:hAnsi="Calibri"/>
          <w:b/>
          <w:bCs/>
          <w:color w:val="222222"/>
          <w:sz w:val="20"/>
          <w:szCs w:val="20"/>
        </w:rPr>
        <w:t xml:space="preserve">A reviewer: </w:t>
      </w:r>
      <w:r>
        <w:rPr>
          <w:rFonts w:ascii="Calibri" w:cs="Calibri" w:eastAsia="Calibri" w:hAnsi="Calibri"/>
          <w:color w:val="222222"/>
          <w:sz w:val="20"/>
          <w:szCs w:val="20"/>
        </w:rPr>
        <w:t xml:space="preserve">30–45 minutes clicking through the demo with the guided tour — the in-app feedback goes directly into the pilot scope.</w:t>
      </w:r>
    </w:p>
    <w:p>
      <w:pPr>
        <w:pStyle w:val="ListParagraph"/>
        <w:numPr>
          <w:ilvl w:val="0"/>
          <w:numId w:val="2"/>
        </w:numPr>
        <w:spacing w:after="55" w:line="250"/>
      </w:pPr>
      <w:r>
        <w:rPr>
          <w:rFonts w:ascii="Calibri" w:cs="Calibri" w:eastAsia="Calibri" w:hAnsi="Calibri"/>
          <w:b/>
          <w:bCs/>
          <w:color w:val="222222"/>
          <w:sz w:val="20"/>
          <w:szCs w:val="20"/>
        </w:rPr>
        <w:t xml:space="preserve">Content warranty (pilot stage): </w:t>
      </w:r>
      <w:r>
        <w:rPr>
          <w:rFonts w:ascii="Calibri" w:cs="Calibri" w:eastAsia="Calibri" w:hAnsi="Calibri"/>
          <w:color w:val="222222"/>
          <w:sz w:val="20"/>
          <w:szCs w:val="20"/>
        </w:rPr>
        <w:t xml:space="preserve">confirmation that uploaded training material contains no identifiable patient data — the platform is designed to hold staff training records only, never patient information.</w:t>
      </w:r>
    </w:p>
    <w:p>
      <w:pPr>
        <w:pBdr>
          <w:bottom w:val="single" w:color="0E7C7B" w:sz="8"/>
        </w:pBdr>
        <w:spacing w:after="100" w:before="240"/>
      </w:pPr>
      <w:r>
        <w:rPr>
          <w:rFonts w:ascii="Calibri" w:cs="Calibri" w:eastAsia="Calibri" w:hAnsi="Calibri"/>
          <w:b/>
          <w:bCs/>
          <w:color w:val="1B3A5C"/>
          <w:sz w:val="26"/>
          <w:szCs w:val="26"/>
        </w:rPr>
        <w:t xml:space="preserve">6. How Success Is Measured</w:t>
      </w:r>
    </w:p>
    <w:p>
      <w:pPr>
        <w:spacing w:after="85" w:line="254"/>
      </w:pPr>
      <w:r>
        <w:rPr>
          <w:rFonts w:ascii="Calibri" w:cs="Calibri" w:eastAsia="Calibri" w:hAnsi="Calibri"/>
          <w:color w:val="222222"/>
          <w:sz w:val="20"/>
          <w:szCs w:val="20"/>
        </w:rPr>
        <w:t xml:space="preserve">The platform instruments its own value from day one: time-to-competency per role, course completion rates, support-question reduction after self-serve onboarding, quiz-difficulty hotspots (which also surface product-UX friction worth fixing upstream), and certificate coverage per facility. These metrics are reviewed together at the end of the pilot and become the ongoing operating dashboard.</w:t>
      </w:r>
    </w:p>
    <w:sectPr>
      <w:footerReference w:type="default" r:id="rId7"/>
      <w:pgSz w:w="12240" w:h="15840" w:orient="portrait"/>
      <w:pgMar w:top="740" w:right="960" w:bottom="74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5"/>
        <w:szCs w:val="15"/>
      </w:rPr>
      <w:t xml:space="preserve">Confidential — prepared for partner review  •  Page </w:t>
    </w:r>
    <w:r>
      <w:rPr>
        <w:rFonts w:ascii="Calibri" w:cs="Calibri" w:eastAsia="Calibri" w:hAnsi="Calibri"/>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17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2026-07-09T02:54:35.848Z</dcterms:created>
  <dcterms:modified xsi:type="dcterms:W3CDTF">2026-07-09T02:54:35.864Z</dcterms:modified>
</cp:coreProperties>
</file>

<file path=docProps/custom.xml><?xml version="1.0" encoding="utf-8"?>
<Properties xmlns="http://schemas.openxmlformats.org/officeDocument/2006/custom-properties" xmlns:vt="http://schemas.openxmlformats.org/officeDocument/2006/docPropsVTypes"/>
</file>