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AC048" w14:textId="169D4AE3" w:rsidR="005D3CB2" w:rsidRPr="008E7E4A" w:rsidRDefault="005D3CB2">
      <w:pPr>
        <w:rPr>
          <w:sz w:val="18"/>
          <w:szCs w:val="18"/>
        </w:rPr>
      </w:pPr>
      <w:r w:rsidRPr="008E7E4A">
        <w:rPr>
          <w:sz w:val="18"/>
          <w:szCs w:val="18"/>
        </w:rPr>
        <w:t xml:space="preserve">Formeln und Quellenangaben zu den Datensätzen befinden sich in </w:t>
      </w:r>
      <w:r w:rsidR="00BA1FA7" w:rsidRPr="008E7E4A">
        <w:rPr>
          <w:sz w:val="18"/>
          <w:szCs w:val="18"/>
        </w:rPr>
        <w:t xml:space="preserve">diesem versionierten Dokument: </w:t>
      </w:r>
      <w:r w:rsidR="00BA1FA7" w:rsidRPr="008E7E4A">
        <w:rPr>
          <w:i/>
          <w:iCs/>
          <w:sz w:val="18"/>
          <w:szCs w:val="18"/>
        </w:rPr>
        <w:t>https://github.com/akramer-zibra/hochschulstatistiken/blob/master/Hochschulstatistiken.xlsx</w:t>
      </w:r>
    </w:p>
    <w:p w14:paraId="53C31327" w14:textId="77777777" w:rsidR="005D3CB2" w:rsidRDefault="005D3CB2">
      <w:pPr>
        <w:rPr>
          <w:b/>
          <w:bCs/>
        </w:rPr>
      </w:pPr>
    </w:p>
    <w:p w14:paraId="4F6DEC4E" w14:textId="1DEE801D" w:rsidR="0078245B" w:rsidRPr="0078245B" w:rsidRDefault="0078245B">
      <w:pPr>
        <w:rPr>
          <w:b/>
          <w:bCs/>
        </w:rPr>
      </w:pPr>
      <w:r w:rsidRPr="0078245B">
        <w:rPr>
          <w:b/>
          <w:bCs/>
        </w:rPr>
        <w:t>Entwicklung der Studierendenzahlen</w:t>
      </w:r>
    </w:p>
    <w:p w14:paraId="241AB53E" w14:textId="1DDE1C27" w:rsidR="00901A63" w:rsidRDefault="0078245B">
      <w:r>
        <w:t xml:space="preserve">Die Anzahl der Studierenden an Hochschulen und Universitäten in Baden-Württemberg hat sich zwischen den Jahren 2000 und 2019 um einerseits </w:t>
      </w:r>
      <w:r w:rsidR="00530CC3">
        <w:t>+</w:t>
      </w:r>
      <w:r>
        <w:t xml:space="preserve">46,68% (Universitäten) und </w:t>
      </w:r>
      <w:r w:rsidR="00530CC3">
        <w:t>+</w:t>
      </w:r>
      <w:r>
        <w:t>65,83% (Pädagogische Hochschulen) erhöht. In absoluten Zahlen entspricht dies an Universitäten ein Anstieg von 114.993 (Jahr 2000) auf 168.671 (Jahr 2019) und an Pädagogischen Hochschulen ein Anstieg der Studierendenzahl von 15.029 (Jahr 2000) auf 24.923 (Jahr 2019).</w:t>
      </w:r>
      <w:r w:rsidR="00FC3333">
        <w:br/>
      </w:r>
    </w:p>
    <w:p w14:paraId="490D7DF4" w14:textId="79A39137" w:rsidR="0078245B" w:rsidRDefault="00901A63">
      <w:r>
        <w:rPr>
          <w:noProof/>
        </w:rPr>
        <w:drawing>
          <wp:inline distT="0" distB="0" distL="0" distR="0" wp14:anchorId="1306E51E" wp14:editId="2B544E33">
            <wp:extent cx="5760720" cy="2347595"/>
            <wp:effectExtent l="0" t="0" r="11430" b="14605"/>
            <wp:docPr id="1" name="Diagramm 1">
              <a:extLst xmlns:a="http://schemas.openxmlformats.org/drawingml/2006/main">
                <a:ext uri="{FF2B5EF4-FFF2-40B4-BE49-F238E27FC236}">
                  <a16:creationId xmlns:a16="http://schemas.microsoft.com/office/drawing/2014/main" id="{BEFD625F-244A-4F0D-A73B-9BB082A63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F05B5DF" w14:textId="291F1417" w:rsidR="0078245B" w:rsidRDefault="0078245B"/>
    <w:p w14:paraId="15C04BA9" w14:textId="6BC23277" w:rsidR="0078245B" w:rsidRPr="0033594B" w:rsidRDefault="00F42B0E">
      <w:pPr>
        <w:rPr>
          <w:b/>
          <w:bCs/>
        </w:rPr>
      </w:pPr>
      <w:r>
        <w:rPr>
          <w:b/>
          <w:bCs/>
        </w:rPr>
        <w:t xml:space="preserve">Entwicklung </w:t>
      </w:r>
      <w:r w:rsidR="00BC273A">
        <w:rPr>
          <w:b/>
          <w:bCs/>
        </w:rPr>
        <w:t>der</w:t>
      </w:r>
      <w:r>
        <w:rPr>
          <w:b/>
          <w:bCs/>
        </w:rPr>
        <w:t xml:space="preserve"> Professuren</w:t>
      </w:r>
    </w:p>
    <w:p w14:paraId="2C503558" w14:textId="3768FFF9" w:rsidR="00EF07E2" w:rsidRDefault="00181A1A" w:rsidP="00D450D5">
      <w:r>
        <w:t xml:space="preserve">Die Anzahl der Professuren an baden-württembergischen Hochschulen und Universitäten hat sich in den Jahren zwischen 2000 und 2019 </w:t>
      </w:r>
      <w:r w:rsidR="0059302C">
        <w:t xml:space="preserve">einerseits </w:t>
      </w:r>
      <w:r>
        <w:t>von 2.263 auf 2.866 (Universitäten) erhöht</w:t>
      </w:r>
      <w:r w:rsidR="0059302C">
        <w:t xml:space="preserve"> und </w:t>
      </w:r>
      <w:r w:rsidR="007E7972">
        <w:t xml:space="preserve">ist </w:t>
      </w:r>
      <w:r w:rsidR="0059302C">
        <w:t xml:space="preserve">andererseits von 400 auf 374 (Pädagogische Hochschulen) </w:t>
      </w:r>
      <w:r w:rsidR="007E7972">
        <w:t>zurückgegangen</w:t>
      </w:r>
      <w:r w:rsidR="0059302C">
        <w:t xml:space="preserve">. </w:t>
      </w:r>
      <w:r w:rsidR="003978CA">
        <w:t>Das entspricht an Universitäten einer Steigerung</w:t>
      </w:r>
      <w:r w:rsidR="009C7913">
        <w:t xml:space="preserve"> der Profess</w:t>
      </w:r>
      <w:r w:rsidR="003B384D">
        <w:t>o</w:t>
      </w:r>
      <w:r w:rsidR="009C7913">
        <w:t>r</w:t>
      </w:r>
      <w:r w:rsidR="003B384D">
        <w:t>en</w:t>
      </w:r>
      <w:r w:rsidR="009C7913">
        <w:t>stellen</w:t>
      </w:r>
      <w:r w:rsidR="003978CA">
        <w:t xml:space="preserve"> in Prozentwerten von +26,65% bei einer dortigen Steigerung der Studierendenzahl von +46,48%. An Pädagogischen Hochschulen </w:t>
      </w:r>
      <w:r w:rsidR="00D450D5">
        <w:t xml:space="preserve">gab es einen Rückgang der Professorenstellen von -6,50% bei einer Steigerung der Studierendenzahlen von </w:t>
      </w:r>
      <w:r w:rsidR="003978CA">
        <w:t xml:space="preserve">+65,83%. </w:t>
      </w:r>
    </w:p>
    <w:p w14:paraId="5490A47E" w14:textId="128FBF20" w:rsidR="003978CA" w:rsidRDefault="003978CA">
      <w:pPr>
        <w:rPr>
          <w:noProof/>
        </w:rPr>
      </w:pPr>
      <w:r>
        <w:rPr>
          <w:noProof/>
        </w:rPr>
        <w:drawing>
          <wp:inline distT="0" distB="0" distL="0" distR="0" wp14:anchorId="05511D48" wp14:editId="3C4750EA">
            <wp:extent cx="5760720" cy="1758315"/>
            <wp:effectExtent l="0" t="0" r="11430" b="13335"/>
            <wp:docPr id="2" name="Diagramm 2">
              <a:extLst xmlns:a="http://schemas.openxmlformats.org/drawingml/2006/main">
                <a:ext uri="{FF2B5EF4-FFF2-40B4-BE49-F238E27FC236}">
                  <a16:creationId xmlns:a16="http://schemas.microsoft.com/office/drawing/2014/main" id="{69E88404-0915-4742-AAE1-C2D0C3C38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A3EC84" w14:textId="10E00477" w:rsidR="003978CA" w:rsidRDefault="003978CA" w:rsidP="003978CA">
      <w:pPr>
        <w:tabs>
          <w:tab w:val="left" w:pos="1430"/>
        </w:tabs>
      </w:pPr>
      <w:r>
        <w:t xml:space="preserve">Im Entwicklungsverlauf der Professuren an Universitäten </w:t>
      </w:r>
      <w:r w:rsidR="0027705E">
        <w:t xml:space="preserve">in Baden-Württemberg </w:t>
      </w:r>
      <w:r>
        <w:t>lässt sich in den Zahlen eine konsequente Steigerung der Stellen</w:t>
      </w:r>
      <w:r w:rsidR="00E864E2">
        <w:t xml:space="preserve"> (+26,65%)</w:t>
      </w:r>
      <w:r>
        <w:t xml:space="preserve"> erkennen, mit einzelnen </w:t>
      </w:r>
      <w:r w:rsidR="00C26426">
        <w:t>geringen Rückgängen in den Jahren 2002, 2005, 2006 und 2019.</w:t>
      </w:r>
      <w:r w:rsidR="000D7D7D">
        <w:t xml:space="preserve"> An Pädagogischen Hochschulen </w:t>
      </w:r>
      <w:r w:rsidR="00BA085A">
        <w:t>in Baden-</w:t>
      </w:r>
      <w:r w:rsidR="00BA085A">
        <w:lastRenderedPageBreak/>
        <w:t>Württemberg</w:t>
      </w:r>
      <w:r w:rsidR="001655EF">
        <w:t xml:space="preserve"> </w:t>
      </w:r>
      <w:r w:rsidR="000D7D7D">
        <w:t xml:space="preserve">zeigt der Verlauf </w:t>
      </w:r>
      <w:r w:rsidR="0027705E">
        <w:t xml:space="preserve">der Professuren zuerst einen Rückgang auf eine absolute Anzahl von 336 Professuren </w:t>
      </w:r>
      <w:r w:rsidR="001C5CC0">
        <w:t>(</w:t>
      </w:r>
      <w:r w:rsidR="001C5CC0">
        <w:t>Jahr 2005</w:t>
      </w:r>
      <w:r w:rsidR="001C5CC0">
        <w:t xml:space="preserve">) </w:t>
      </w:r>
      <w:r w:rsidR="0027705E">
        <w:t xml:space="preserve">und </w:t>
      </w:r>
      <w:r w:rsidR="004B5937">
        <w:t xml:space="preserve">anschließend einen </w:t>
      </w:r>
      <w:r w:rsidR="00C54642">
        <w:t>Wiederanstieg</w:t>
      </w:r>
      <w:r w:rsidR="0027705E">
        <w:t xml:space="preserve"> mit einer absoluten Anzahl von 374 Professuren</w:t>
      </w:r>
      <w:r w:rsidR="00A51E69">
        <w:t xml:space="preserve"> (</w:t>
      </w:r>
      <w:r w:rsidR="00A51E69">
        <w:t>Jahr 2019</w:t>
      </w:r>
      <w:r w:rsidR="00A51E69">
        <w:t>)</w:t>
      </w:r>
      <w:r w:rsidR="0027705E">
        <w:t>.</w:t>
      </w:r>
      <w:r w:rsidR="00C54642">
        <w:t xml:space="preserve"> Im </w:t>
      </w:r>
      <w:r w:rsidR="00F67B2F">
        <w:t>Verlauf</w:t>
      </w:r>
      <w:r w:rsidR="00C54642">
        <w:t xml:space="preserve"> zwischen den Jahren 2000 und 2019 entspr</w:t>
      </w:r>
      <w:r w:rsidR="0065482E">
        <w:t>i</w:t>
      </w:r>
      <w:r w:rsidR="00C54642">
        <w:t xml:space="preserve">cht dies </w:t>
      </w:r>
      <w:r w:rsidR="00F67B2F">
        <w:t xml:space="preserve">an den Pädagogischen Hochschulen ein Rückgang </w:t>
      </w:r>
      <w:r w:rsidR="00651077">
        <w:t>von</w:t>
      </w:r>
      <w:r w:rsidR="00C54642">
        <w:t xml:space="preserve"> -6,50%</w:t>
      </w:r>
      <w:r w:rsidR="00CE0C6C">
        <w:t xml:space="preserve"> </w:t>
      </w:r>
      <w:r w:rsidR="00837C10">
        <w:t xml:space="preserve">bei einer im gleichen Zeitraum </w:t>
      </w:r>
      <w:r w:rsidR="00781431">
        <w:t xml:space="preserve">gestiegenen Studierendenzahl </w:t>
      </w:r>
      <w:r w:rsidR="00837C10">
        <w:t>von +65,83%</w:t>
      </w:r>
      <w:r w:rsidR="00C54642">
        <w:t>.</w:t>
      </w:r>
      <w:r w:rsidR="006B0D3C">
        <w:t xml:space="preserve"> </w:t>
      </w:r>
    </w:p>
    <w:p w14:paraId="4037FCD2" w14:textId="77777777" w:rsidR="00F52FD4" w:rsidRDefault="00F52FD4" w:rsidP="00EF0692">
      <w:pPr>
        <w:rPr>
          <w:b/>
          <w:bCs/>
        </w:rPr>
      </w:pPr>
    </w:p>
    <w:p w14:paraId="472DFDE2" w14:textId="1D38327D" w:rsidR="00EF0692" w:rsidRPr="0033594B" w:rsidRDefault="00251BA8" w:rsidP="00EF0692">
      <w:pPr>
        <w:rPr>
          <w:b/>
          <w:bCs/>
        </w:rPr>
      </w:pPr>
      <w:r>
        <w:rPr>
          <w:b/>
          <w:bCs/>
        </w:rPr>
        <w:t>Entwicklung des Betreuungsschlüssel („Studierende pro Professur“)</w:t>
      </w:r>
    </w:p>
    <w:p w14:paraId="083D3F84" w14:textId="21E97BC2" w:rsidR="0099174C" w:rsidRDefault="00ED5889" w:rsidP="003978CA">
      <w:pPr>
        <w:tabs>
          <w:tab w:val="left" w:pos="1430"/>
        </w:tabs>
      </w:pPr>
      <w:r>
        <w:t xml:space="preserve">Beide Entwicklungen der Studierendenanzahl einerseits und der Professorenstellen andererseits lassen sich in einem Wert aus „Studierendem pro Professur“ </w:t>
      </w:r>
      <w:r w:rsidR="0099174C">
        <w:t>(Betreuungsschlüssel) zusammenfassen</w:t>
      </w:r>
      <w:r>
        <w:t>. Es zeigt sich</w:t>
      </w:r>
      <w:r w:rsidR="0099174C">
        <w:t xml:space="preserve"> im Verlauf zwischen den Jahren 2000 und 2019, dass dieser Betreuungsschlüssel an baden-württembergischen Universitäten von 50,81 auf 58,85 </w:t>
      </w:r>
      <w:r w:rsidR="00C54A59">
        <w:t>an</w:t>
      </w:r>
      <w:r w:rsidR="0099174C">
        <w:t xml:space="preserve">gestiegen ist. Im Vergleich </w:t>
      </w:r>
      <w:r w:rsidR="004A3FA6">
        <w:t xml:space="preserve">hierzu </w:t>
      </w:r>
      <w:r w:rsidR="0099174C">
        <w:t>hat sich der Betreuungsschlüssel an Pädagogischen Hochschulen im gleichen Zeitraum von 37,57 auf 66,64 fast verdoppelt.</w:t>
      </w:r>
    </w:p>
    <w:p w14:paraId="132AA01B" w14:textId="5591E0F0" w:rsidR="00331A4B" w:rsidRDefault="00331A4B" w:rsidP="003978CA">
      <w:pPr>
        <w:tabs>
          <w:tab w:val="left" w:pos="1430"/>
        </w:tabs>
        <w:rPr>
          <w:noProof/>
        </w:rPr>
      </w:pPr>
      <w:r>
        <w:rPr>
          <w:noProof/>
        </w:rPr>
        <w:drawing>
          <wp:inline distT="0" distB="0" distL="0" distR="0" wp14:anchorId="0A11F57C" wp14:editId="16F800C5">
            <wp:extent cx="5760720" cy="2171700"/>
            <wp:effectExtent l="0" t="0" r="11430" b="0"/>
            <wp:docPr id="3" name="Diagramm 3">
              <a:extLst xmlns:a="http://schemas.openxmlformats.org/drawingml/2006/main">
                <a:ext uri="{FF2B5EF4-FFF2-40B4-BE49-F238E27FC236}">
                  <a16:creationId xmlns:a16="http://schemas.microsoft.com/office/drawing/2014/main" id="{1544C502-2798-47DA-9584-F1E9FED65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6F4508" w14:textId="3FB828AF" w:rsidR="00B65602" w:rsidRDefault="00B65602" w:rsidP="00B65602">
      <w:pPr>
        <w:rPr>
          <w:noProof/>
        </w:rPr>
      </w:pPr>
    </w:p>
    <w:p w14:paraId="16FDA72E" w14:textId="296E937E" w:rsidR="00B65602" w:rsidRPr="007048FA" w:rsidRDefault="005D3CB2" w:rsidP="00B65602">
      <w:pPr>
        <w:tabs>
          <w:tab w:val="left" w:pos="2380"/>
        </w:tabs>
        <w:rPr>
          <w:b/>
          <w:bCs/>
        </w:rPr>
      </w:pPr>
      <w:r w:rsidRPr="007048FA">
        <w:rPr>
          <w:b/>
          <w:bCs/>
        </w:rPr>
        <w:t xml:space="preserve">Einnahmen </w:t>
      </w:r>
      <w:r w:rsidR="002B6D9E" w:rsidRPr="007048FA">
        <w:rPr>
          <w:b/>
          <w:bCs/>
        </w:rPr>
        <w:t>und Ausgaben</w:t>
      </w:r>
      <w:r w:rsidR="007048FA">
        <w:rPr>
          <w:b/>
          <w:bCs/>
        </w:rPr>
        <w:t xml:space="preserve"> pro </w:t>
      </w:r>
      <w:r w:rsidR="00481F86">
        <w:rPr>
          <w:b/>
          <w:bCs/>
        </w:rPr>
        <w:t>Studierende</w:t>
      </w:r>
      <w:r w:rsidR="00AC4D3C">
        <w:rPr>
          <w:b/>
          <w:bCs/>
        </w:rPr>
        <w:t>m</w:t>
      </w:r>
    </w:p>
    <w:p w14:paraId="3F926276" w14:textId="5ECB424D" w:rsidR="00666492" w:rsidRDefault="00453CCE" w:rsidP="00B65602">
      <w:pPr>
        <w:tabs>
          <w:tab w:val="left" w:pos="2380"/>
        </w:tabs>
      </w:pPr>
      <w:r>
        <w:t>Im Jahr 2018 betrugen die Gesamteinnahmen von Universitäten in Baden-Württemberg pro Studierendem 5.819,39 EUR. Im Vergleich hierzu betrugen die Gesamteinnahmen an Pädagogischen Hochschulen pro Studierendem 986,03 EUR. Somit haben Universitäten eine fast 6</w:t>
      </w:r>
      <w:r w:rsidR="008B43A5">
        <w:t>-</w:t>
      </w:r>
      <w:r>
        <w:t>fach höhere Einnahme an Geldmitteln pro Studierenden als Pädagogische Hochschulen. Dieser Faktor hat sich im darauffolgenden Jahr leicht erhöht, blieb aber ungefähr bei</w:t>
      </w:r>
      <w:r w:rsidR="00744912">
        <w:t xml:space="preserve"> einem </w:t>
      </w:r>
      <w:r>
        <w:t xml:space="preserve">Faktor </w:t>
      </w:r>
      <w:r w:rsidR="006A5BD4">
        <w:t xml:space="preserve">von </w:t>
      </w:r>
      <w:r>
        <w:t>6.</w:t>
      </w:r>
      <w:r w:rsidR="00A0095E">
        <w:br/>
      </w:r>
    </w:p>
    <w:tbl>
      <w:tblPr>
        <w:tblW w:w="7720" w:type="dxa"/>
        <w:tblCellMar>
          <w:left w:w="70" w:type="dxa"/>
          <w:right w:w="70" w:type="dxa"/>
        </w:tblCellMar>
        <w:tblLook w:val="04A0" w:firstRow="1" w:lastRow="0" w:firstColumn="1" w:lastColumn="0" w:noHBand="0" w:noVBand="1"/>
      </w:tblPr>
      <w:tblGrid>
        <w:gridCol w:w="1640"/>
        <w:gridCol w:w="1820"/>
        <w:gridCol w:w="1880"/>
        <w:gridCol w:w="2380"/>
      </w:tblGrid>
      <w:tr w:rsidR="00666492" w:rsidRPr="00666492" w14:paraId="117BFFDF" w14:textId="77777777" w:rsidTr="00B44074">
        <w:trPr>
          <w:trHeight w:val="788"/>
        </w:trPr>
        <w:tc>
          <w:tcPr>
            <w:tcW w:w="1640" w:type="dxa"/>
            <w:tcBorders>
              <w:top w:val="single" w:sz="4" w:space="0" w:color="FF0000"/>
              <w:left w:val="single" w:sz="4" w:space="0" w:color="FF0000"/>
              <w:bottom w:val="single" w:sz="4" w:space="0" w:color="F2F2F2"/>
              <w:right w:val="nil"/>
            </w:tcBorders>
            <w:shd w:val="clear" w:color="000000" w:fill="D9E1F2"/>
            <w:noWrap/>
            <w:vAlign w:val="bottom"/>
            <w:hideMark/>
          </w:tcPr>
          <w:p w14:paraId="4EC27C70" w14:textId="1F5B5161" w:rsidR="00666492" w:rsidRPr="00666492" w:rsidRDefault="00666492" w:rsidP="00666492">
            <w:pPr>
              <w:spacing w:after="0" w:line="240" w:lineRule="auto"/>
              <w:rPr>
                <w:rFonts w:ascii="Calibri" w:eastAsia="Times New Roman" w:hAnsi="Calibri" w:cs="Calibri"/>
                <w:i/>
                <w:iCs/>
                <w:color w:val="FF0000"/>
                <w:sz w:val="18"/>
                <w:szCs w:val="18"/>
                <w:lang w:eastAsia="de-DE"/>
              </w:rPr>
            </w:pPr>
            <w:r w:rsidRPr="00666492">
              <w:rPr>
                <w:rFonts w:ascii="Calibri" w:eastAsia="Times New Roman" w:hAnsi="Calibri" w:cs="Calibri"/>
                <w:i/>
                <w:iCs/>
                <w:color w:val="FF0000"/>
                <w:sz w:val="18"/>
                <w:szCs w:val="18"/>
                <w:lang w:eastAsia="de-DE"/>
              </w:rPr>
              <w:t>in EUR</w:t>
            </w:r>
          </w:p>
        </w:tc>
        <w:tc>
          <w:tcPr>
            <w:tcW w:w="1820" w:type="dxa"/>
            <w:tcBorders>
              <w:top w:val="single" w:sz="4" w:space="0" w:color="FF0000"/>
              <w:left w:val="single" w:sz="4" w:space="0" w:color="AEAAAA"/>
              <w:bottom w:val="single" w:sz="4" w:space="0" w:color="F2F2F2"/>
              <w:right w:val="nil"/>
            </w:tcBorders>
            <w:shd w:val="clear" w:color="000000" w:fill="D9E1F2"/>
            <w:vAlign w:val="center"/>
            <w:hideMark/>
          </w:tcPr>
          <w:p w14:paraId="162CA9F5" w14:textId="3936CB9B" w:rsidR="00666492" w:rsidRPr="00666492" w:rsidRDefault="00666492" w:rsidP="00B44074">
            <w:pPr>
              <w:spacing w:after="0" w:line="240" w:lineRule="auto"/>
              <w:jc w:val="center"/>
              <w:rPr>
                <w:rFonts w:ascii="Calibri" w:eastAsia="Times New Roman" w:hAnsi="Calibri" w:cs="Calibri"/>
                <w:b/>
                <w:bCs/>
                <w:color w:val="000000"/>
                <w:sz w:val="18"/>
                <w:szCs w:val="18"/>
                <w:lang w:eastAsia="de-DE"/>
              </w:rPr>
            </w:pPr>
            <w:r w:rsidRPr="00666492">
              <w:rPr>
                <w:rFonts w:ascii="Calibri" w:eastAsia="Times New Roman" w:hAnsi="Calibri" w:cs="Calibri"/>
                <w:color w:val="000000"/>
                <w:sz w:val="18"/>
                <w:szCs w:val="18"/>
                <w:lang w:eastAsia="de-DE"/>
              </w:rPr>
              <w:t>2018</w:t>
            </w:r>
            <w:r w:rsidRPr="00666492">
              <w:rPr>
                <w:rFonts w:ascii="Calibri" w:eastAsia="Times New Roman" w:hAnsi="Calibri" w:cs="Calibri"/>
                <w:color w:val="000000"/>
                <w:sz w:val="18"/>
                <w:szCs w:val="18"/>
                <w:lang w:eastAsia="de-DE"/>
              </w:rPr>
              <w:br/>
            </w:r>
            <w:r w:rsidRPr="00666492">
              <w:rPr>
                <w:rFonts w:ascii="Calibri" w:eastAsia="Times New Roman" w:hAnsi="Calibri" w:cs="Calibri"/>
                <w:b/>
                <w:bCs/>
                <w:color w:val="000000"/>
                <w:sz w:val="18"/>
                <w:szCs w:val="18"/>
                <w:lang w:eastAsia="de-DE"/>
              </w:rPr>
              <w:t>Einnahmen pro Studierende</w:t>
            </w:r>
            <w:r w:rsidR="001C7324">
              <w:rPr>
                <w:rFonts w:ascii="Calibri" w:eastAsia="Times New Roman" w:hAnsi="Calibri" w:cs="Calibri"/>
                <w:b/>
                <w:bCs/>
                <w:color w:val="000000"/>
                <w:sz w:val="18"/>
                <w:szCs w:val="18"/>
                <w:lang w:eastAsia="de-DE"/>
              </w:rPr>
              <w:t>m</w:t>
            </w:r>
          </w:p>
        </w:tc>
        <w:tc>
          <w:tcPr>
            <w:tcW w:w="1880" w:type="dxa"/>
            <w:tcBorders>
              <w:top w:val="single" w:sz="4" w:space="0" w:color="FF0000"/>
              <w:left w:val="nil"/>
              <w:bottom w:val="single" w:sz="4" w:space="0" w:color="F2F2F2"/>
              <w:right w:val="single" w:sz="4" w:space="0" w:color="AEAAAA"/>
            </w:tcBorders>
            <w:shd w:val="clear" w:color="000000" w:fill="D9E1F2"/>
            <w:vAlign w:val="center"/>
            <w:hideMark/>
          </w:tcPr>
          <w:p w14:paraId="4A80EA9A" w14:textId="7AE35540" w:rsidR="00666492" w:rsidRPr="00666492" w:rsidRDefault="00666492" w:rsidP="00B44074">
            <w:pPr>
              <w:spacing w:after="0" w:line="240" w:lineRule="auto"/>
              <w:jc w:val="center"/>
              <w:rPr>
                <w:rFonts w:ascii="Calibri" w:eastAsia="Times New Roman" w:hAnsi="Calibri" w:cs="Calibri"/>
                <w:b/>
                <w:bCs/>
                <w:color w:val="000000"/>
                <w:sz w:val="18"/>
                <w:szCs w:val="18"/>
                <w:lang w:eastAsia="de-DE"/>
              </w:rPr>
            </w:pPr>
            <w:r w:rsidRPr="00666492">
              <w:rPr>
                <w:rFonts w:ascii="Calibri" w:eastAsia="Times New Roman" w:hAnsi="Calibri" w:cs="Calibri"/>
                <w:color w:val="000000"/>
                <w:sz w:val="18"/>
                <w:szCs w:val="18"/>
                <w:lang w:eastAsia="de-DE"/>
              </w:rPr>
              <w:t>2019</w:t>
            </w:r>
            <w:r w:rsidRPr="00666492">
              <w:rPr>
                <w:rFonts w:ascii="Calibri" w:eastAsia="Times New Roman" w:hAnsi="Calibri" w:cs="Calibri"/>
                <w:color w:val="000000"/>
                <w:sz w:val="18"/>
                <w:szCs w:val="18"/>
                <w:lang w:eastAsia="de-DE"/>
              </w:rPr>
              <w:br/>
            </w:r>
            <w:r w:rsidRPr="00666492">
              <w:rPr>
                <w:rFonts w:ascii="Calibri" w:eastAsia="Times New Roman" w:hAnsi="Calibri" w:cs="Calibri"/>
                <w:b/>
                <w:bCs/>
                <w:color w:val="000000"/>
                <w:sz w:val="18"/>
                <w:szCs w:val="18"/>
                <w:lang w:eastAsia="de-DE"/>
              </w:rPr>
              <w:t>Einnahmen pro Studierende</w:t>
            </w:r>
            <w:r w:rsidR="00A323E8">
              <w:rPr>
                <w:rFonts w:ascii="Calibri" w:eastAsia="Times New Roman" w:hAnsi="Calibri" w:cs="Calibri"/>
                <w:b/>
                <w:bCs/>
                <w:color w:val="000000"/>
                <w:sz w:val="18"/>
                <w:szCs w:val="18"/>
                <w:lang w:eastAsia="de-DE"/>
              </w:rPr>
              <w:t>m</w:t>
            </w:r>
          </w:p>
        </w:tc>
        <w:tc>
          <w:tcPr>
            <w:tcW w:w="2380" w:type="dxa"/>
            <w:tcBorders>
              <w:top w:val="single" w:sz="4" w:space="0" w:color="FF0000"/>
              <w:left w:val="nil"/>
              <w:bottom w:val="single" w:sz="4" w:space="0" w:color="F2F2F2"/>
              <w:right w:val="single" w:sz="4" w:space="0" w:color="FF0000"/>
            </w:tcBorders>
            <w:shd w:val="clear" w:color="000000" w:fill="D9E1F2"/>
            <w:vAlign w:val="center"/>
            <w:hideMark/>
          </w:tcPr>
          <w:p w14:paraId="4EB5048A" w14:textId="217415F6" w:rsidR="00666492" w:rsidRPr="00666492" w:rsidRDefault="00666492" w:rsidP="00B44074">
            <w:pPr>
              <w:spacing w:after="0" w:line="240" w:lineRule="auto"/>
              <w:jc w:val="center"/>
              <w:rPr>
                <w:rFonts w:ascii="Calibri" w:eastAsia="Times New Roman" w:hAnsi="Calibri" w:cs="Calibri"/>
                <w:b/>
                <w:bCs/>
                <w:color w:val="000000"/>
                <w:sz w:val="18"/>
                <w:szCs w:val="18"/>
                <w:lang w:eastAsia="de-DE"/>
              </w:rPr>
            </w:pPr>
            <w:r w:rsidRPr="00666492">
              <w:rPr>
                <w:rFonts w:ascii="Calibri" w:eastAsia="Times New Roman" w:hAnsi="Calibri" w:cs="Calibri"/>
                <w:color w:val="000000"/>
                <w:sz w:val="18"/>
                <w:szCs w:val="18"/>
                <w:lang w:eastAsia="de-DE"/>
              </w:rPr>
              <w:t>2018 -&gt; 2019</w:t>
            </w:r>
            <w:r w:rsidRPr="00666492">
              <w:rPr>
                <w:rFonts w:ascii="Calibri" w:eastAsia="Times New Roman" w:hAnsi="Calibri" w:cs="Calibri"/>
                <w:color w:val="000000"/>
                <w:sz w:val="18"/>
                <w:szCs w:val="18"/>
                <w:lang w:eastAsia="de-DE"/>
              </w:rPr>
              <w:br/>
            </w:r>
            <w:r w:rsidRPr="00666492">
              <w:rPr>
                <w:rFonts w:ascii="Calibri" w:eastAsia="Times New Roman" w:hAnsi="Calibri" w:cs="Calibri"/>
                <w:b/>
                <w:bCs/>
                <w:color w:val="000000"/>
                <w:sz w:val="18"/>
                <w:szCs w:val="18"/>
                <w:lang w:eastAsia="de-DE"/>
              </w:rPr>
              <w:t>Steigerung Einnahmen pro Studierende</w:t>
            </w:r>
            <w:r w:rsidR="00A323E8">
              <w:rPr>
                <w:rFonts w:ascii="Calibri" w:eastAsia="Times New Roman" w:hAnsi="Calibri" w:cs="Calibri"/>
                <w:b/>
                <w:bCs/>
                <w:color w:val="000000"/>
                <w:sz w:val="18"/>
                <w:szCs w:val="18"/>
                <w:lang w:eastAsia="de-DE"/>
              </w:rPr>
              <w:t>m</w:t>
            </w:r>
          </w:p>
        </w:tc>
      </w:tr>
      <w:tr w:rsidR="00666492" w:rsidRPr="00666492" w14:paraId="4B32ADA9" w14:textId="77777777" w:rsidTr="00666492">
        <w:trPr>
          <w:trHeight w:val="290"/>
        </w:trPr>
        <w:tc>
          <w:tcPr>
            <w:tcW w:w="1640" w:type="dxa"/>
            <w:tcBorders>
              <w:top w:val="nil"/>
              <w:left w:val="single" w:sz="4" w:space="0" w:color="FF0000"/>
              <w:bottom w:val="single" w:sz="4" w:space="0" w:color="F2F2F2"/>
              <w:right w:val="nil"/>
            </w:tcBorders>
            <w:shd w:val="clear" w:color="000000" w:fill="D9E1F2"/>
            <w:noWrap/>
            <w:vAlign w:val="bottom"/>
            <w:hideMark/>
          </w:tcPr>
          <w:p w14:paraId="5D13CA67"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Universitäten</w:t>
            </w:r>
          </w:p>
        </w:tc>
        <w:tc>
          <w:tcPr>
            <w:tcW w:w="1820" w:type="dxa"/>
            <w:tcBorders>
              <w:top w:val="nil"/>
              <w:left w:val="single" w:sz="4" w:space="0" w:color="AEAAAA"/>
              <w:bottom w:val="single" w:sz="4" w:space="0" w:color="F2F2F2"/>
              <w:right w:val="nil"/>
            </w:tcBorders>
            <w:shd w:val="clear" w:color="000000" w:fill="D9E1F2"/>
            <w:noWrap/>
            <w:vAlign w:val="bottom"/>
            <w:hideMark/>
          </w:tcPr>
          <w:p w14:paraId="5B48BAB1"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5.819,39 €</w:t>
            </w:r>
          </w:p>
        </w:tc>
        <w:tc>
          <w:tcPr>
            <w:tcW w:w="1880" w:type="dxa"/>
            <w:tcBorders>
              <w:top w:val="nil"/>
              <w:left w:val="nil"/>
              <w:bottom w:val="single" w:sz="4" w:space="0" w:color="F2F2F2"/>
              <w:right w:val="single" w:sz="4" w:space="0" w:color="AEAAAA"/>
            </w:tcBorders>
            <w:shd w:val="clear" w:color="000000" w:fill="D9E1F2"/>
            <w:noWrap/>
            <w:vAlign w:val="bottom"/>
            <w:hideMark/>
          </w:tcPr>
          <w:p w14:paraId="102EFA03"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6.318,13 €</w:t>
            </w:r>
          </w:p>
        </w:tc>
        <w:tc>
          <w:tcPr>
            <w:tcW w:w="2380" w:type="dxa"/>
            <w:tcBorders>
              <w:top w:val="nil"/>
              <w:left w:val="nil"/>
              <w:bottom w:val="single" w:sz="4" w:space="0" w:color="F2F2F2"/>
              <w:right w:val="single" w:sz="4" w:space="0" w:color="FF0000"/>
            </w:tcBorders>
            <w:shd w:val="clear" w:color="000000" w:fill="D9E1F2"/>
            <w:noWrap/>
            <w:vAlign w:val="bottom"/>
            <w:hideMark/>
          </w:tcPr>
          <w:p w14:paraId="7539F32B" w14:textId="77777777" w:rsidR="00666492" w:rsidRPr="00666492" w:rsidRDefault="00666492" w:rsidP="00666492">
            <w:pPr>
              <w:spacing w:after="0" w:line="240" w:lineRule="auto"/>
              <w:jc w:val="right"/>
              <w:rPr>
                <w:rFonts w:ascii="Calibri" w:eastAsia="Times New Roman" w:hAnsi="Calibri" w:cs="Calibri"/>
                <w:color w:val="00B050"/>
                <w:sz w:val="18"/>
                <w:szCs w:val="18"/>
                <w:lang w:eastAsia="de-DE"/>
              </w:rPr>
            </w:pPr>
            <w:r w:rsidRPr="00666492">
              <w:rPr>
                <w:rFonts w:ascii="Calibri" w:eastAsia="Times New Roman" w:hAnsi="Calibri" w:cs="Calibri"/>
                <w:color w:val="00B050"/>
                <w:sz w:val="18"/>
                <w:szCs w:val="18"/>
                <w:lang w:eastAsia="de-DE"/>
              </w:rPr>
              <w:t>8,57%</w:t>
            </w:r>
          </w:p>
        </w:tc>
      </w:tr>
      <w:tr w:rsidR="00666492" w:rsidRPr="00666492" w14:paraId="33BF95CE" w14:textId="77777777" w:rsidTr="00666492">
        <w:trPr>
          <w:trHeight w:val="660"/>
        </w:trPr>
        <w:tc>
          <w:tcPr>
            <w:tcW w:w="1640" w:type="dxa"/>
            <w:tcBorders>
              <w:top w:val="nil"/>
              <w:left w:val="single" w:sz="4" w:space="0" w:color="FF0000"/>
              <w:bottom w:val="single" w:sz="4" w:space="0" w:color="C00000"/>
              <w:right w:val="nil"/>
            </w:tcBorders>
            <w:shd w:val="clear" w:color="000000" w:fill="D9E1F2"/>
            <w:vAlign w:val="bottom"/>
            <w:hideMark/>
          </w:tcPr>
          <w:p w14:paraId="723CFBBE"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Pädagogische Hochschulen</w:t>
            </w:r>
          </w:p>
        </w:tc>
        <w:tc>
          <w:tcPr>
            <w:tcW w:w="1820" w:type="dxa"/>
            <w:tcBorders>
              <w:top w:val="nil"/>
              <w:left w:val="single" w:sz="4" w:space="0" w:color="AEAAAA"/>
              <w:bottom w:val="single" w:sz="4" w:space="0" w:color="C00000"/>
              <w:right w:val="nil"/>
            </w:tcBorders>
            <w:shd w:val="clear" w:color="000000" w:fill="D9E1F2"/>
            <w:noWrap/>
            <w:vAlign w:val="bottom"/>
            <w:hideMark/>
          </w:tcPr>
          <w:p w14:paraId="28928F93"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986,03 €</w:t>
            </w:r>
          </w:p>
        </w:tc>
        <w:tc>
          <w:tcPr>
            <w:tcW w:w="1880" w:type="dxa"/>
            <w:tcBorders>
              <w:top w:val="nil"/>
              <w:left w:val="nil"/>
              <w:bottom w:val="single" w:sz="4" w:space="0" w:color="C00000"/>
              <w:right w:val="single" w:sz="4" w:space="0" w:color="AEAAAA"/>
            </w:tcBorders>
            <w:shd w:val="clear" w:color="000000" w:fill="D9E1F2"/>
            <w:noWrap/>
            <w:vAlign w:val="bottom"/>
            <w:hideMark/>
          </w:tcPr>
          <w:p w14:paraId="199AD571"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1.005,46 €</w:t>
            </w:r>
          </w:p>
        </w:tc>
        <w:tc>
          <w:tcPr>
            <w:tcW w:w="2380" w:type="dxa"/>
            <w:tcBorders>
              <w:top w:val="nil"/>
              <w:left w:val="nil"/>
              <w:bottom w:val="single" w:sz="4" w:space="0" w:color="C00000"/>
              <w:right w:val="single" w:sz="4" w:space="0" w:color="FF0000"/>
            </w:tcBorders>
            <w:shd w:val="clear" w:color="000000" w:fill="D9E1F2"/>
            <w:noWrap/>
            <w:vAlign w:val="bottom"/>
            <w:hideMark/>
          </w:tcPr>
          <w:p w14:paraId="63FB1E20" w14:textId="77777777" w:rsidR="00666492" w:rsidRPr="00666492" w:rsidRDefault="00666492" w:rsidP="00666492">
            <w:pPr>
              <w:spacing w:after="0" w:line="240" w:lineRule="auto"/>
              <w:jc w:val="right"/>
              <w:rPr>
                <w:rFonts w:ascii="Calibri" w:eastAsia="Times New Roman" w:hAnsi="Calibri" w:cs="Calibri"/>
                <w:color w:val="00B050"/>
                <w:sz w:val="18"/>
                <w:szCs w:val="18"/>
                <w:lang w:eastAsia="de-DE"/>
              </w:rPr>
            </w:pPr>
            <w:r w:rsidRPr="00666492">
              <w:rPr>
                <w:rFonts w:ascii="Calibri" w:eastAsia="Times New Roman" w:hAnsi="Calibri" w:cs="Calibri"/>
                <w:color w:val="00B050"/>
                <w:sz w:val="18"/>
                <w:szCs w:val="18"/>
                <w:lang w:eastAsia="de-DE"/>
              </w:rPr>
              <w:t>1,97%</w:t>
            </w:r>
          </w:p>
        </w:tc>
      </w:tr>
      <w:tr w:rsidR="00666492" w:rsidRPr="00666492" w14:paraId="791D8742" w14:textId="77777777" w:rsidTr="00666492">
        <w:trPr>
          <w:trHeight w:val="290"/>
        </w:trPr>
        <w:tc>
          <w:tcPr>
            <w:tcW w:w="1640" w:type="dxa"/>
            <w:tcBorders>
              <w:top w:val="nil"/>
              <w:left w:val="single" w:sz="4" w:space="0" w:color="FF0000"/>
              <w:bottom w:val="nil"/>
              <w:right w:val="nil"/>
            </w:tcBorders>
            <w:shd w:val="clear" w:color="000000" w:fill="D9E1F2"/>
            <w:noWrap/>
            <w:vAlign w:val="bottom"/>
            <w:hideMark/>
          </w:tcPr>
          <w:p w14:paraId="57E2D40E"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 </w:t>
            </w:r>
          </w:p>
        </w:tc>
        <w:tc>
          <w:tcPr>
            <w:tcW w:w="1820" w:type="dxa"/>
            <w:tcBorders>
              <w:top w:val="nil"/>
              <w:left w:val="single" w:sz="4" w:space="0" w:color="AEAAAA"/>
              <w:bottom w:val="nil"/>
              <w:right w:val="nil"/>
            </w:tcBorders>
            <w:shd w:val="clear" w:color="000000" w:fill="D9E1F2"/>
            <w:noWrap/>
            <w:vAlign w:val="bottom"/>
            <w:hideMark/>
          </w:tcPr>
          <w:p w14:paraId="33EDFD38"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 </w:t>
            </w:r>
          </w:p>
        </w:tc>
        <w:tc>
          <w:tcPr>
            <w:tcW w:w="1880" w:type="dxa"/>
            <w:tcBorders>
              <w:top w:val="nil"/>
              <w:left w:val="nil"/>
              <w:bottom w:val="nil"/>
              <w:right w:val="single" w:sz="4" w:space="0" w:color="AEAAAA"/>
            </w:tcBorders>
            <w:shd w:val="clear" w:color="000000" w:fill="D9E1F2"/>
            <w:noWrap/>
            <w:vAlign w:val="bottom"/>
            <w:hideMark/>
          </w:tcPr>
          <w:p w14:paraId="4C1828E8"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 </w:t>
            </w:r>
          </w:p>
        </w:tc>
        <w:tc>
          <w:tcPr>
            <w:tcW w:w="2380" w:type="dxa"/>
            <w:tcBorders>
              <w:top w:val="nil"/>
              <w:left w:val="nil"/>
              <w:bottom w:val="nil"/>
              <w:right w:val="single" w:sz="4" w:space="0" w:color="FF0000"/>
            </w:tcBorders>
            <w:shd w:val="clear" w:color="000000" w:fill="D9E1F2"/>
            <w:noWrap/>
            <w:vAlign w:val="bottom"/>
            <w:hideMark/>
          </w:tcPr>
          <w:p w14:paraId="55E624C5" w14:textId="39E09C42" w:rsidR="00666492" w:rsidRPr="00666492" w:rsidRDefault="00666492" w:rsidP="00666492">
            <w:pPr>
              <w:spacing w:after="0" w:line="240" w:lineRule="auto"/>
              <w:rPr>
                <w:rFonts w:ascii="Calibri" w:eastAsia="Times New Roman" w:hAnsi="Calibri" w:cs="Calibri"/>
                <w:color w:val="000000"/>
                <w:sz w:val="18"/>
                <w:szCs w:val="18"/>
                <w:lang w:eastAsia="de-DE"/>
              </w:rPr>
            </w:pPr>
          </w:p>
        </w:tc>
      </w:tr>
      <w:tr w:rsidR="00666492" w:rsidRPr="00666492" w14:paraId="5A810875" w14:textId="77777777" w:rsidTr="00B44074">
        <w:trPr>
          <w:trHeight w:val="571"/>
        </w:trPr>
        <w:tc>
          <w:tcPr>
            <w:tcW w:w="1640" w:type="dxa"/>
            <w:tcBorders>
              <w:top w:val="nil"/>
              <w:left w:val="single" w:sz="4" w:space="0" w:color="FF0000"/>
              <w:bottom w:val="single" w:sz="4" w:space="0" w:color="F2F2F2"/>
              <w:right w:val="nil"/>
            </w:tcBorders>
            <w:shd w:val="clear" w:color="000000" w:fill="D9E1F2"/>
            <w:noWrap/>
            <w:vAlign w:val="bottom"/>
            <w:hideMark/>
          </w:tcPr>
          <w:p w14:paraId="7CDAEC2E" w14:textId="77777777" w:rsidR="00666492" w:rsidRPr="00666492" w:rsidRDefault="00666492" w:rsidP="00666492">
            <w:pPr>
              <w:spacing w:after="0" w:line="240" w:lineRule="auto"/>
              <w:rPr>
                <w:rFonts w:ascii="Calibri" w:eastAsia="Times New Roman" w:hAnsi="Calibri" w:cs="Calibri"/>
                <w:i/>
                <w:iCs/>
                <w:color w:val="FF0000"/>
                <w:sz w:val="18"/>
                <w:szCs w:val="18"/>
                <w:lang w:eastAsia="de-DE"/>
              </w:rPr>
            </w:pPr>
            <w:r w:rsidRPr="00666492">
              <w:rPr>
                <w:rFonts w:ascii="Calibri" w:eastAsia="Times New Roman" w:hAnsi="Calibri" w:cs="Calibri"/>
                <w:i/>
                <w:iCs/>
                <w:color w:val="FF0000"/>
                <w:sz w:val="18"/>
                <w:szCs w:val="18"/>
                <w:lang w:eastAsia="de-DE"/>
              </w:rPr>
              <w:t>in EUR</w:t>
            </w:r>
          </w:p>
        </w:tc>
        <w:tc>
          <w:tcPr>
            <w:tcW w:w="1820" w:type="dxa"/>
            <w:tcBorders>
              <w:top w:val="nil"/>
              <w:left w:val="single" w:sz="4" w:space="0" w:color="AEAAAA"/>
              <w:bottom w:val="single" w:sz="4" w:space="0" w:color="F2F2F2"/>
              <w:right w:val="nil"/>
            </w:tcBorders>
            <w:shd w:val="clear" w:color="000000" w:fill="D9E1F2"/>
            <w:vAlign w:val="center"/>
            <w:hideMark/>
          </w:tcPr>
          <w:p w14:paraId="75A38EA1" w14:textId="2AA390A1" w:rsidR="00666492" w:rsidRPr="00666492" w:rsidRDefault="00666492" w:rsidP="00B44074">
            <w:pPr>
              <w:spacing w:after="0" w:line="240" w:lineRule="auto"/>
              <w:jc w:val="center"/>
              <w:rPr>
                <w:rFonts w:ascii="Calibri" w:eastAsia="Times New Roman" w:hAnsi="Calibri" w:cs="Calibri"/>
                <w:b/>
                <w:bCs/>
                <w:color w:val="000000"/>
                <w:sz w:val="18"/>
                <w:szCs w:val="18"/>
                <w:lang w:eastAsia="de-DE"/>
              </w:rPr>
            </w:pPr>
            <w:r w:rsidRPr="00666492">
              <w:rPr>
                <w:rFonts w:ascii="Calibri" w:eastAsia="Times New Roman" w:hAnsi="Calibri" w:cs="Calibri"/>
                <w:color w:val="000000"/>
                <w:sz w:val="18"/>
                <w:szCs w:val="18"/>
                <w:lang w:eastAsia="de-DE"/>
              </w:rPr>
              <w:t>2018</w:t>
            </w:r>
            <w:r w:rsidRPr="00666492">
              <w:rPr>
                <w:rFonts w:ascii="Calibri" w:eastAsia="Times New Roman" w:hAnsi="Calibri" w:cs="Calibri"/>
                <w:color w:val="000000"/>
                <w:sz w:val="18"/>
                <w:szCs w:val="18"/>
                <w:lang w:eastAsia="de-DE"/>
              </w:rPr>
              <w:br/>
            </w:r>
            <w:r w:rsidRPr="00666492">
              <w:rPr>
                <w:rFonts w:ascii="Calibri" w:eastAsia="Times New Roman" w:hAnsi="Calibri" w:cs="Calibri"/>
                <w:b/>
                <w:bCs/>
                <w:color w:val="000000"/>
                <w:sz w:val="18"/>
                <w:szCs w:val="18"/>
                <w:lang w:eastAsia="de-DE"/>
              </w:rPr>
              <w:t>Ausgaben pro Studierende</w:t>
            </w:r>
            <w:r w:rsidR="00225767">
              <w:rPr>
                <w:rFonts w:ascii="Calibri" w:eastAsia="Times New Roman" w:hAnsi="Calibri" w:cs="Calibri"/>
                <w:b/>
                <w:bCs/>
                <w:color w:val="000000"/>
                <w:sz w:val="18"/>
                <w:szCs w:val="18"/>
                <w:lang w:eastAsia="de-DE"/>
              </w:rPr>
              <w:t>m</w:t>
            </w:r>
          </w:p>
        </w:tc>
        <w:tc>
          <w:tcPr>
            <w:tcW w:w="1880" w:type="dxa"/>
            <w:tcBorders>
              <w:top w:val="nil"/>
              <w:left w:val="nil"/>
              <w:bottom w:val="single" w:sz="4" w:space="0" w:color="F2F2F2"/>
              <w:right w:val="single" w:sz="4" w:space="0" w:color="AEAAAA"/>
            </w:tcBorders>
            <w:shd w:val="clear" w:color="000000" w:fill="D9E1F2"/>
            <w:vAlign w:val="center"/>
            <w:hideMark/>
          </w:tcPr>
          <w:p w14:paraId="1EA3A250" w14:textId="20C205CB" w:rsidR="00666492" w:rsidRPr="00666492" w:rsidRDefault="00666492" w:rsidP="00B44074">
            <w:pPr>
              <w:spacing w:after="0" w:line="240" w:lineRule="auto"/>
              <w:jc w:val="center"/>
              <w:rPr>
                <w:rFonts w:ascii="Calibri" w:eastAsia="Times New Roman" w:hAnsi="Calibri" w:cs="Calibri"/>
                <w:b/>
                <w:bCs/>
                <w:color w:val="000000"/>
                <w:sz w:val="18"/>
                <w:szCs w:val="18"/>
                <w:lang w:eastAsia="de-DE"/>
              </w:rPr>
            </w:pPr>
            <w:r w:rsidRPr="00666492">
              <w:rPr>
                <w:rFonts w:ascii="Calibri" w:eastAsia="Times New Roman" w:hAnsi="Calibri" w:cs="Calibri"/>
                <w:color w:val="000000"/>
                <w:sz w:val="18"/>
                <w:szCs w:val="18"/>
                <w:lang w:eastAsia="de-DE"/>
              </w:rPr>
              <w:t>2019</w:t>
            </w:r>
            <w:r w:rsidRPr="00666492">
              <w:rPr>
                <w:rFonts w:ascii="Calibri" w:eastAsia="Times New Roman" w:hAnsi="Calibri" w:cs="Calibri"/>
                <w:b/>
                <w:bCs/>
                <w:color w:val="000000"/>
                <w:sz w:val="18"/>
                <w:szCs w:val="18"/>
                <w:lang w:eastAsia="de-DE"/>
              </w:rPr>
              <w:br/>
              <w:t>Ausgaben pro Studierende</w:t>
            </w:r>
            <w:r w:rsidR="00225767">
              <w:rPr>
                <w:rFonts w:ascii="Calibri" w:eastAsia="Times New Roman" w:hAnsi="Calibri" w:cs="Calibri"/>
                <w:b/>
                <w:bCs/>
                <w:color w:val="000000"/>
                <w:sz w:val="18"/>
                <w:szCs w:val="18"/>
                <w:lang w:eastAsia="de-DE"/>
              </w:rPr>
              <w:t>m</w:t>
            </w:r>
          </w:p>
        </w:tc>
        <w:tc>
          <w:tcPr>
            <w:tcW w:w="2380" w:type="dxa"/>
            <w:tcBorders>
              <w:top w:val="nil"/>
              <w:left w:val="nil"/>
              <w:bottom w:val="single" w:sz="4" w:space="0" w:color="F2F2F2"/>
              <w:right w:val="single" w:sz="4" w:space="0" w:color="FF0000"/>
            </w:tcBorders>
            <w:shd w:val="clear" w:color="000000" w:fill="D9E1F2"/>
            <w:vAlign w:val="center"/>
            <w:hideMark/>
          </w:tcPr>
          <w:p w14:paraId="0696993A" w14:textId="2AC8C949" w:rsidR="00666492" w:rsidRPr="00666492" w:rsidRDefault="00666492" w:rsidP="00B44074">
            <w:pPr>
              <w:spacing w:after="0" w:line="240" w:lineRule="auto"/>
              <w:jc w:val="center"/>
              <w:rPr>
                <w:rFonts w:ascii="Calibri" w:eastAsia="Times New Roman" w:hAnsi="Calibri" w:cs="Calibri"/>
                <w:b/>
                <w:bCs/>
                <w:color w:val="000000"/>
                <w:sz w:val="18"/>
                <w:szCs w:val="18"/>
                <w:lang w:eastAsia="de-DE"/>
              </w:rPr>
            </w:pPr>
            <w:r w:rsidRPr="00666492">
              <w:rPr>
                <w:rFonts w:ascii="Calibri" w:eastAsia="Times New Roman" w:hAnsi="Calibri" w:cs="Calibri"/>
                <w:color w:val="000000"/>
                <w:sz w:val="18"/>
                <w:szCs w:val="18"/>
                <w:lang w:eastAsia="de-DE"/>
              </w:rPr>
              <w:t>2018 -&gt; 2019</w:t>
            </w:r>
            <w:r w:rsidRPr="00666492">
              <w:rPr>
                <w:rFonts w:ascii="Calibri" w:eastAsia="Times New Roman" w:hAnsi="Calibri" w:cs="Calibri"/>
                <w:color w:val="000000"/>
                <w:sz w:val="18"/>
                <w:szCs w:val="18"/>
                <w:lang w:eastAsia="de-DE"/>
              </w:rPr>
              <w:br/>
            </w:r>
            <w:r w:rsidRPr="00666492">
              <w:rPr>
                <w:rFonts w:ascii="Calibri" w:eastAsia="Times New Roman" w:hAnsi="Calibri" w:cs="Calibri"/>
                <w:b/>
                <w:bCs/>
                <w:color w:val="000000"/>
                <w:sz w:val="18"/>
                <w:szCs w:val="18"/>
                <w:lang w:eastAsia="de-DE"/>
              </w:rPr>
              <w:t>Steigerung Ausgaben pro Studierende</w:t>
            </w:r>
            <w:r w:rsidR="00883675">
              <w:rPr>
                <w:rFonts w:ascii="Calibri" w:eastAsia="Times New Roman" w:hAnsi="Calibri" w:cs="Calibri"/>
                <w:b/>
                <w:bCs/>
                <w:color w:val="000000"/>
                <w:sz w:val="18"/>
                <w:szCs w:val="18"/>
                <w:lang w:eastAsia="de-DE"/>
              </w:rPr>
              <w:t>m</w:t>
            </w:r>
          </w:p>
        </w:tc>
      </w:tr>
      <w:tr w:rsidR="00666492" w:rsidRPr="00666492" w14:paraId="4EABCDFF" w14:textId="77777777" w:rsidTr="00666492">
        <w:trPr>
          <w:trHeight w:val="290"/>
        </w:trPr>
        <w:tc>
          <w:tcPr>
            <w:tcW w:w="1640" w:type="dxa"/>
            <w:tcBorders>
              <w:top w:val="nil"/>
              <w:left w:val="single" w:sz="4" w:space="0" w:color="FF0000"/>
              <w:bottom w:val="single" w:sz="4" w:space="0" w:color="F2F2F2"/>
              <w:right w:val="nil"/>
            </w:tcBorders>
            <w:shd w:val="clear" w:color="000000" w:fill="D9E1F2"/>
            <w:noWrap/>
            <w:vAlign w:val="bottom"/>
            <w:hideMark/>
          </w:tcPr>
          <w:p w14:paraId="232E47CC"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Universitäten</w:t>
            </w:r>
          </w:p>
        </w:tc>
        <w:tc>
          <w:tcPr>
            <w:tcW w:w="1820" w:type="dxa"/>
            <w:tcBorders>
              <w:top w:val="nil"/>
              <w:left w:val="single" w:sz="4" w:space="0" w:color="AEAAAA"/>
              <w:bottom w:val="single" w:sz="4" w:space="0" w:color="F2F2F2"/>
              <w:right w:val="nil"/>
            </w:tcBorders>
            <w:shd w:val="clear" w:color="000000" w:fill="D9E1F2"/>
            <w:noWrap/>
            <w:vAlign w:val="bottom"/>
            <w:hideMark/>
          </w:tcPr>
          <w:p w14:paraId="4185280A"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16.173,92 €</w:t>
            </w:r>
          </w:p>
        </w:tc>
        <w:tc>
          <w:tcPr>
            <w:tcW w:w="1880" w:type="dxa"/>
            <w:tcBorders>
              <w:top w:val="nil"/>
              <w:left w:val="nil"/>
              <w:bottom w:val="single" w:sz="4" w:space="0" w:color="F2F2F2"/>
              <w:right w:val="single" w:sz="4" w:space="0" w:color="AEAAAA"/>
            </w:tcBorders>
            <w:shd w:val="clear" w:color="000000" w:fill="D9E1F2"/>
            <w:noWrap/>
            <w:vAlign w:val="bottom"/>
            <w:hideMark/>
          </w:tcPr>
          <w:p w14:paraId="2C5DD3B0"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17.187,59 €</w:t>
            </w:r>
          </w:p>
        </w:tc>
        <w:tc>
          <w:tcPr>
            <w:tcW w:w="2380" w:type="dxa"/>
            <w:tcBorders>
              <w:top w:val="nil"/>
              <w:left w:val="nil"/>
              <w:bottom w:val="single" w:sz="4" w:space="0" w:color="F2F2F2"/>
              <w:right w:val="single" w:sz="4" w:space="0" w:color="FF0000"/>
            </w:tcBorders>
            <w:shd w:val="clear" w:color="000000" w:fill="D9E1F2"/>
            <w:noWrap/>
            <w:vAlign w:val="bottom"/>
            <w:hideMark/>
          </w:tcPr>
          <w:p w14:paraId="268EC86D" w14:textId="77777777" w:rsidR="00666492" w:rsidRPr="00666492" w:rsidRDefault="00666492" w:rsidP="00666492">
            <w:pPr>
              <w:spacing w:after="0" w:line="240" w:lineRule="auto"/>
              <w:jc w:val="right"/>
              <w:rPr>
                <w:rFonts w:ascii="Calibri" w:eastAsia="Times New Roman" w:hAnsi="Calibri" w:cs="Calibri"/>
                <w:color w:val="00B050"/>
                <w:sz w:val="18"/>
                <w:szCs w:val="18"/>
                <w:lang w:eastAsia="de-DE"/>
              </w:rPr>
            </w:pPr>
            <w:r w:rsidRPr="00666492">
              <w:rPr>
                <w:rFonts w:ascii="Calibri" w:eastAsia="Times New Roman" w:hAnsi="Calibri" w:cs="Calibri"/>
                <w:color w:val="00B050"/>
                <w:sz w:val="18"/>
                <w:szCs w:val="18"/>
                <w:lang w:eastAsia="de-DE"/>
              </w:rPr>
              <w:t>6,27%</w:t>
            </w:r>
          </w:p>
        </w:tc>
      </w:tr>
      <w:tr w:rsidR="00666492" w:rsidRPr="00666492" w14:paraId="2073B97C" w14:textId="77777777" w:rsidTr="00666492">
        <w:trPr>
          <w:trHeight w:val="580"/>
        </w:trPr>
        <w:tc>
          <w:tcPr>
            <w:tcW w:w="1640" w:type="dxa"/>
            <w:tcBorders>
              <w:top w:val="nil"/>
              <w:left w:val="single" w:sz="4" w:space="0" w:color="FF0000"/>
              <w:bottom w:val="single" w:sz="4" w:space="0" w:color="FF0000"/>
              <w:right w:val="nil"/>
            </w:tcBorders>
            <w:shd w:val="clear" w:color="000000" w:fill="D9E1F2"/>
            <w:vAlign w:val="bottom"/>
            <w:hideMark/>
          </w:tcPr>
          <w:p w14:paraId="300A85A8" w14:textId="77777777" w:rsidR="00666492" w:rsidRPr="00666492" w:rsidRDefault="00666492" w:rsidP="00666492">
            <w:pPr>
              <w:spacing w:after="0" w:line="240" w:lineRule="auto"/>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lastRenderedPageBreak/>
              <w:t>Pädagogische Hochschulen</w:t>
            </w:r>
          </w:p>
        </w:tc>
        <w:tc>
          <w:tcPr>
            <w:tcW w:w="1820" w:type="dxa"/>
            <w:tcBorders>
              <w:top w:val="nil"/>
              <w:left w:val="single" w:sz="4" w:space="0" w:color="AEAAAA"/>
              <w:bottom w:val="single" w:sz="4" w:space="0" w:color="FF0000"/>
              <w:right w:val="nil"/>
            </w:tcBorders>
            <w:shd w:val="clear" w:color="000000" w:fill="D9E1F2"/>
            <w:noWrap/>
            <w:vAlign w:val="bottom"/>
            <w:hideMark/>
          </w:tcPr>
          <w:p w14:paraId="1EB64597"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6.651,54 €</w:t>
            </w:r>
          </w:p>
        </w:tc>
        <w:tc>
          <w:tcPr>
            <w:tcW w:w="1880" w:type="dxa"/>
            <w:tcBorders>
              <w:top w:val="nil"/>
              <w:left w:val="nil"/>
              <w:bottom w:val="single" w:sz="4" w:space="0" w:color="FF0000"/>
              <w:right w:val="single" w:sz="4" w:space="0" w:color="AEAAAA"/>
            </w:tcBorders>
            <w:shd w:val="clear" w:color="000000" w:fill="D9E1F2"/>
            <w:noWrap/>
            <w:vAlign w:val="bottom"/>
            <w:hideMark/>
          </w:tcPr>
          <w:p w14:paraId="5198773D" w14:textId="77777777" w:rsidR="00666492" w:rsidRPr="00666492" w:rsidRDefault="00666492" w:rsidP="00666492">
            <w:pPr>
              <w:spacing w:after="0" w:line="240" w:lineRule="auto"/>
              <w:jc w:val="right"/>
              <w:rPr>
                <w:rFonts w:ascii="Calibri" w:eastAsia="Times New Roman" w:hAnsi="Calibri" w:cs="Calibri"/>
                <w:color w:val="000000"/>
                <w:sz w:val="18"/>
                <w:szCs w:val="18"/>
                <w:lang w:eastAsia="de-DE"/>
              </w:rPr>
            </w:pPr>
            <w:r w:rsidRPr="00666492">
              <w:rPr>
                <w:rFonts w:ascii="Calibri" w:eastAsia="Times New Roman" w:hAnsi="Calibri" w:cs="Calibri"/>
                <w:color w:val="000000"/>
                <w:sz w:val="18"/>
                <w:szCs w:val="18"/>
                <w:lang w:eastAsia="de-DE"/>
              </w:rPr>
              <w:t>6.894,19 €</w:t>
            </w:r>
          </w:p>
        </w:tc>
        <w:tc>
          <w:tcPr>
            <w:tcW w:w="2380" w:type="dxa"/>
            <w:tcBorders>
              <w:top w:val="nil"/>
              <w:left w:val="nil"/>
              <w:bottom w:val="single" w:sz="4" w:space="0" w:color="FF0000"/>
              <w:right w:val="single" w:sz="4" w:space="0" w:color="FF0000"/>
            </w:tcBorders>
            <w:shd w:val="clear" w:color="000000" w:fill="D9E1F2"/>
            <w:noWrap/>
            <w:vAlign w:val="bottom"/>
            <w:hideMark/>
          </w:tcPr>
          <w:p w14:paraId="612340A4" w14:textId="77777777" w:rsidR="00666492" w:rsidRPr="00666492" w:rsidRDefault="00666492" w:rsidP="00666492">
            <w:pPr>
              <w:spacing w:after="0" w:line="240" w:lineRule="auto"/>
              <w:jc w:val="right"/>
              <w:rPr>
                <w:rFonts w:ascii="Calibri" w:eastAsia="Times New Roman" w:hAnsi="Calibri" w:cs="Calibri"/>
                <w:color w:val="00B050"/>
                <w:sz w:val="18"/>
                <w:szCs w:val="18"/>
                <w:lang w:eastAsia="de-DE"/>
              </w:rPr>
            </w:pPr>
            <w:r w:rsidRPr="00666492">
              <w:rPr>
                <w:rFonts w:ascii="Calibri" w:eastAsia="Times New Roman" w:hAnsi="Calibri" w:cs="Calibri"/>
                <w:color w:val="00B050"/>
                <w:sz w:val="18"/>
                <w:szCs w:val="18"/>
                <w:lang w:eastAsia="de-DE"/>
              </w:rPr>
              <w:t>3,65%</w:t>
            </w:r>
          </w:p>
        </w:tc>
      </w:tr>
    </w:tbl>
    <w:p w14:paraId="63CA1954" w14:textId="77777777" w:rsidR="003D370A" w:rsidRDefault="003D370A" w:rsidP="00B65602">
      <w:pPr>
        <w:tabs>
          <w:tab w:val="left" w:pos="2380"/>
        </w:tabs>
      </w:pPr>
    </w:p>
    <w:p w14:paraId="301283D8" w14:textId="39AD9212" w:rsidR="007B5A7C" w:rsidRDefault="007B5A7C" w:rsidP="006C1739">
      <w:pPr>
        <w:tabs>
          <w:tab w:val="left" w:pos="2380"/>
        </w:tabs>
      </w:pPr>
      <w:r>
        <w:t xml:space="preserve">Die Gesamtausgaben </w:t>
      </w:r>
      <w:r w:rsidR="00322218">
        <w:t>pro Studierenden</w:t>
      </w:r>
      <w:r>
        <w:t xml:space="preserve"> lagen im gleichen Jahr (2018) bei den baden-württem</w:t>
      </w:r>
      <w:r>
        <w:softHyphen/>
        <w:t>bergischen Universitäten bei 16.173,92 EUR und im direkten Vergleich bei den Pädagogischen Hochschulen bei 6.651,54 EUR.</w:t>
      </w:r>
      <w:r>
        <w:t xml:space="preserve"> </w:t>
      </w:r>
      <w:r>
        <w:t xml:space="preserve">In beiden Fällen sind die Gesamtausgaben </w:t>
      </w:r>
      <w:r w:rsidR="00322218">
        <w:t>pro Studierenden</w:t>
      </w:r>
      <w:r>
        <w:t xml:space="preserve"> im Jahr 2019 um einerseits +6,27% (Universitäten) und andererseits um 3,65% (Pädagogische Hochschulen) gestiegen.</w:t>
      </w:r>
    </w:p>
    <w:p w14:paraId="62705769" w14:textId="465E578A" w:rsidR="006C1739" w:rsidRDefault="00E91308" w:rsidP="006C1739">
      <w:pPr>
        <w:tabs>
          <w:tab w:val="left" w:pos="2380"/>
        </w:tabs>
      </w:pPr>
      <w:r>
        <w:t xml:space="preserve">Die </w:t>
      </w:r>
      <w:r w:rsidR="009F4F83">
        <w:t xml:space="preserve">Gesamteinnahmen und -ausgaben pro Studierenden in Bezug gesetzt ergibt, dass Universitäten circa 2,78-mal so viel Geld pro Studierenden ausgeben, wie sie an Geldmitteln </w:t>
      </w:r>
      <w:r w:rsidR="00322218">
        <w:t>pro Studierenden</w:t>
      </w:r>
      <w:r w:rsidR="009F4F83">
        <w:t xml:space="preserve"> einnehmen. Im Vergleich hierzu </w:t>
      </w:r>
      <w:r w:rsidR="00B60B95">
        <w:t>geben Pädagogische Hochschulen in Baden-Württemberg circa 6,75-mal so viel aus, wie diese insgesamt</w:t>
      </w:r>
      <w:r w:rsidR="00F63F15">
        <w:t xml:space="preserve"> </w:t>
      </w:r>
      <w:r w:rsidR="00322218">
        <w:t>pro Studierenden</w:t>
      </w:r>
      <w:r w:rsidR="00B60B95">
        <w:t xml:space="preserve"> einnehmen.</w:t>
      </w:r>
      <w:r w:rsidR="008A7E4C">
        <w:t xml:space="preserve"> </w:t>
      </w:r>
    </w:p>
    <w:p w14:paraId="431AEE83" w14:textId="77777777" w:rsidR="00DA5E7E" w:rsidRDefault="00DA5E7E" w:rsidP="006C1739">
      <w:pPr>
        <w:tabs>
          <w:tab w:val="left" w:pos="2380"/>
        </w:tabs>
        <w:rPr>
          <w:b/>
          <w:bCs/>
        </w:rPr>
      </w:pPr>
    </w:p>
    <w:p w14:paraId="58BD6CD8" w14:textId="6E739036" w:rsidR="006C1739" w:rsidRDefault="006C1739" w:rsidP="006C1739">
      <w:pPr>
        <w:tabs>
          <w:tab w:val="left" w:pos="2380"/>
        </w:tabs>
        <w:rPr>
          <w:b/>
          <w:bCs/>
        </w:rPr>
      </w:pPr>
      <w:r>
        <w:rPr>
          <w:b/>
          <w:bCs/>
        </w:rPr>
        <w:t>Drittmittelquote und Studierendenanteil an den Einnahmen</w:t>
      </w:r>
    </w:p>
    <w:p w14:paraId="15C29E7C" w14:textId="57B12BF7" w:rsidR="006C1739" w:rsidRDefault="00430239" w:rsidP="00B65602">
      <w:pPr>
        <w:tabs>
          <w:tab w:val="left" w:pos="2380"/>
        </w:tabs>
      </w:pPr>
      <w:r>
        <w:t xml:space="preserve">In der Erhebung </w:t>
      </w:r>
      <w:r w:rsidR="00003B69">
        <w:t>der Einnahmen und Ausgaben von Hochschulen und Universitäten durch das</w:t>
      </w:r>
      <w:r>
        <w:t xml:space="preserve"> Statistischen Landesamtes Baden-Württemberg </w:t>
      </w:r>
      <w:r w:rsidR="00003B69">
        <w:t>sind neben dem Drittmittelanteil auch die Studierendenanteile der Einnahmen aufgeführt. Hieraus lassen sich jeweils Studierenden</w:t>
      </w:r>
      <w:r w:rsidR="00E15301">
        <w:t>-</w:t>
      </w:r>
      <w:r w:rsidR="00003B69">
        <w:t xml:space="preserve"> und Drittmittelanteil</w:t>
      </w:r>
      <w:r w:rsidR="00E15301">
        <w:t>e</w:t>
      </w:r>
      <w:r w:rsidR="00003B69">
        <w:t xml:space="preserve"> für Universitäten </w:t>
      </w:r>
      <w:r w:rsidR="00B1024F">
        <w:t xml:space="preserve">und Pädagogische Hochschulen </w:t>
      </w:r>
      <w:r w:rsidR="00003B69">
        <w:t>berechnen.</w:t>
      </w:r>
      <w:r w:rsidR="00B1024F">
        <w:t xml:space="preserve"> </w:t>
      </w:r>
      <w:r w:rsidR="00E02465">
        <w:t>An Universitäten liegt der Anteil der Gesamteinnahmen, der durch Beiträge der Studierenden anfällt</w:t>
      </w:r>
      <w:r w:rsidR="00794103">
        <w:t>,</w:t>
      </w:r>
      <w:r w:rsidR="00E02465">
        <w:t xml:space="preserve"> bei 3,79% (2019). An Pädagogischen Hochschulen liegt dieser Quotient bei 17,71% (2019). </w:t>
      </w:r>
      <w:r w:rsidR="00FC45CD">
        <w:t>Hier ist ersichtlich, dass Studierende an Pädagogischen Hochschulen durch ihre Beiträge einen circa 4,67-fach höheren Anteil an den Gesamteinnahmen ausmachen, als dies an Universitäten der Fall ist.</w:t>
      </w:r>
    </w:p>
    <w:p w14:paraId="5E9995A0" w14:textId="251444DF" w:rsidR="003B4CDA" w:rsidRDefault="002177B3" w:rsidP="00B65602">
      <w:pPr>
        <w:tabs>
          <w:tab w:val="left" w:pos="2380"/>
        </w:tabs>
      </w:pPr>
      <w:r>
        <w:t xml:space="preserve">Die Drittmittelquote an Universitäten in Baden-Württemberg liegt gesamt betrachtet bei 82,76% (2019). Im Vergleich hierzu liegt die Drittmittelquote von Pädagogischen Hochschulen bei 73,21% (2019). </w:t>
      </w:r>
      <w:r w:rsidR="00ED0657">
        <w:t>D</w:t>
      </w:r>
      <w:r w:rsidR="009C5B31">
        <w:t xml:space="preserve">er Drittmittelanteil an Universitäten </w:t>
      </w:r>
      <w:r w:rsidR="00ED0657">
        <w:t xml:space="preserve">liegt somit </w:t>
      </w:r>
      <w:r w:rsidR="009C5B31">
        <w:t xml:space="preserve">nur </w:t>
      </w:r>
      <w:r w:rsidR="00E86939">
        <w:t>um einen Faktor</w:t>
      </w:r>
      <w:r w:rsidR="009C5B31">
        <w:t xml:space="preserve"> von circa 1,13 höher als der von Pädagogischen Hochschulen.</w:t>
      </w:r>
      <w:r w:rsidR="00804730">
        <w:br/>
      </w:r>
    </w:p>
    <w:tbl>
      <w:tblPr>
        <w:tblW w:w="7225" w:type="dxa"/>
        <w:tblCellMar>
          <w:left w:w="70" w:type="dxa"/>
          <w:right w:w="70" w:type="dxa"/>
        </w:tblCellMar>
        <w:tblLook w:val="04A0" w:firstRow="1" w:lastRow="0" w:firstColumn="1" w:lastColumn="0" w:noHBand="0" w:noVBand="1"/>
      </w:tblPr>
      <w:tblGrid>
        <w:gridCol w:w="1960"/>
        <w:gridCol w:w="870"/>
        <w:gridCol w:w="2268"/>
        <w:gridCol w:w="2127"/>
      </w:tblGrid>
      <w:tr w:rsidR="002556AB" w:rsidRPr="002556AB" w14:paraId="5DC9EFEB" w14:textId="77777777" w:rsidTr="002556AB">
        <w:trPr>
          <w:trHeight w:val="1160"/>
        </w:trPr>
        <w:tc>
          <w:tcPr>
            <w:tcW w:w="1960" w:type="dxa"/>
            <w:tcBorders>
              <w:top w:val="single" w:sz="4" w:space="0" w:color="FF0000"/>
              <w:left w:val="single" w:sz="4" w:space="0" w:color="FF0000"/>
              <w:bottom w:val="nil"/>
              <w:right w:val="nil"/>
            </w:tcBorders>
            <w:shd w:val="clear" w:color="000000" w:fill="D9E1F2"/>
            <w:noWrap/>
            <w:vAlign w:val="bottom"/>
            <w:hideMark/>
          </w:tcPr>
          <w:p w14:paraId="13583F58"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870" w:type="dxa"/>
            <w:tcBorders>
              <w:top w:val="single" w:sz="4" w:space="0" w:color="FF0000"/>
              <w:left w:val="nil"/>
              <w:bottom w:val="nil"/>
              <w:right w:val="nil"/>
            </w:tcBorders>
            <w:shd w:val="clear" w:color="000000" w:fill="D9E1F2"/>
            <w:noWrap/>
            <w:vAlign w:val="bottom"/>
            <w:hideMark/>
          </w:tcPr>
          <w:p w14:paraId="3B82D3C8"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2268" w:type="dxa"/>
            <w:tcBorders>
              <w:top w:val="single" w:sz="4" w:space="0" w:color="FF0000"/>
              <w:left w:val="nil"/>
              <w:bottom w:val="nil"/>
              <w:right w:val="nil"/>
            </w:tcBorders>
            <w:shd w:val="clear" w:color="000000" w:fill="D9E1F2"/>
            <w:vAlign w:val="bottom"/>
            <w:hideMark/>
          </w:tcPr>
          <w:p w14:paraId="25037E11" w14:textId="3A6CF677" w:rsidR="002556AB" w:rsidRPr="002556AB" w:rsidRDefault="002556AB" w:rsidP="002556AB">
            <w:pPr>
              <w:spacing w:after="0" w:line="240" w:lineRule="auto"/>
              <w:jc w:val="center"/>
              <w:rPr>
                <w:rFonts w:ascii="Calibri" w:eastAsia="Times New Roman" w:hAnsi="Calibri" w:cs="Calibri"/>
                <w:b/>
                <w:bCs/>
                <w:color w:val="000000"/>
                <w:sz w:val="18"/>
                <w:szCs w:val="18"/>
                <w:lang w:eastAsia="de-DE"/>
              </w:rPr>
            </w:pPr>
            <w:r w:rsidRPr="002556AB">
              <w:rPr>
                <w:rFonts w:ascii="Calibri" w:eastAsia="Times New Roman" w:hAnsi="Calibri" w:cs="Calibri"/>
                <w:b/>
                <w:bCs/>
                <w:color w:val="000000"/>
                <w:sz w:val="18"/>
                <w:szCs w:val="18"/>
                <w:lang w:eastAsia="de-DE"/>
              </w:rPr>
              <w:t>Quot</w:t>
            </w:r>
            <w:r w:rsidR="00003B69">
              <w:rPr>
                <w:rFonts w:ascii="Calibri" w:eastAsia="Times New Roman" w:hAnsi="Calibri" w:cs="Calibri"/>
                <w:b/>
                <w:bCs/>
                <w:color w:val="000000"/>
                <w:sz w:val="18"/>
                <w:szCs w:val="18"/>
                <w:lang w:eastAsia="de-DE"/>
              </w:rPr>
              <w:t>ient</w:t>
            </w:r>
            <w:r w:rsidRPr="002556AB">
              <w:rPr>
                <w:rFonts w:ascii="Calibri" w:eastAsia="Times New Roman" w:hAnsi="Calibri" w:cs="Calibri"/>
                <w:b/>
                <w:bCs/>
                <w:color w:val="000000"/>
                <w:sz w:val="18"/>
                <w:szCs w:val="18"/>
                <w:lang w:eastAsia="de-DE"/>
              </w:rPr>
              <w:t xml:space="preserve"> Beiträge der Studierenden an den Gesamteinnahmen </w:t>
            </w:r>
            <w:r w:rsidRPr="002556AB">
              <w:rPr>
                <w:rFonts w:ascii="Calibri" w:eastAsia="Times New Roman" w:hAnsi="Calibri" w:cs="Calibri"/>
                <w:color w:val="000000"/>
                <w:sz w:val="18"/>
                <w:szCs w:val="18"/>
                <w:lang w:eastAsia="de-DE"/>
              </w:rPr>
              <w:t>(Studierendenanteil)</w:t>
            </w:r>
          </w:p>
        </w:tc>
        <w:tc>
          <w:tcPr>
            <w:tcW w:w="2127" w:type="dxa"/>
            <w:tcBorders>
              <w:top w:val="single" w:sz="4" w:space="0" w:color="FF0000"/>
              <w:left w:val="nil"/>
              <w:bottom w:val="nil"/>
              <w:right w:val="single" w:sz="4" w:space="0" w:color="FF0000"/>
            </w:tcBorders>
            <w:shd w:val="clear" w:color="000000" w:fill="D9E1F2"/>
            <w:vAlign w:val="bottom"/>
            <w:hideMark/>
          </w:tcPr>
          <w:p w14:paraId="120826EC" w14:textId="77777777" w:rsidR="002556AB" w:rsidRPr="002556AB" w:rsidRDefault="002556AB" w:rsidP="002556AB">
            <w:pPr>
              <w:spacing w:after="0" w:line="240" w:lineRule="auto"/>
              <w:jc w:val="center"/>
              <w:rPr>
                <w:rFonts w:ascii="Calibri" w:eastAsia="Times New Roman" w:hAnsi="Calibri" w:cs="Calibri"/>
                <w:b/>
                <w:bCs/>
                <w:color w:val="000000"/>
                <w:sz w:val="18"/>
                <w:szCs w:val="18"/>
                <w:lang w:eastAsia="de-DE"/>
              </w:rPr>
            </w:pPr>
            <w:r w:rsidRPr="002556AB">
              <w:rPr>
                <w:rFonts w:ascii="Calibri" w:eastAsia="Times New Roman" w:hAnsi="Calibri" w:cs="Calibri"/>
                <w:b/>
                <w:bCs/>
                <w:color w:val="000000"/>
                <w:sz w:val="18"/>
                <w:szCs w:val="18"/>
                <w:lang w:eastAsia="de-DE"/>
              </w:rPr>
              <w:t xml:space="preserve">Drittmittel anteilig zu Gesamteinnahmen </w:t>
            </w:r>
            <w:r w:rsidRPr="002556AB">
              <w:rPr>
                <w:rFonts w:ascii="Calibri" w:eastAsia="Times New Roman" w:hAnsi="Calibri" w:cs="Calibri"/>
                <w:color w:val="000000"/>
                <w:sz w:val="18"/>
                <w:szCs w:val="18"/>
                <w:lang w:eastAsia="de-DE"/>
              </w:rPr>
              <w:t>(Drittmittelquote)</w:t>
            </w:r>
          </w:p>
        </w:tc>
      </w:tr>
      <w:tr w:rsidR="002556AB" w:rsidRPr="002556AB" w14:paraId="6EF38A21" w14:textId="77777777" w:rsidTr="002556AB">
        <w:trPr>
          <w:trHeight w:val="290"/>
        </w:trPr>
        <w:tc>
          <w:tcPr>
            <w:tcW w:w="1960" w:type="dxa"/>
            <w:tcBorders>
              <w:top w:val="nil"/>
              <w:left w:val="single" w:sz="4" w:space="0" w:color="FF0000"/>
              <w:bottom w:val="nil"/>
              <w:right w:val="nil"/>
            </w:tcBorders>
            <w:shd w:val="clear" w:color="000000" w:fill="D9E1F2"/>
            <w:noWrap/>
            <w:vAlign w:val="bottom"/>
            <w:hideMark/>
          </w:tcPr>
          <w:p w14:paraId="2705EF74" w14:textId="77777777" w:rsidR="002556AB" w:rsidRPr="002556AB" w:rsidRDefault="002556AB" w:rsidP="002556AB">
            <w:pPr>
              <w:spacing w:after="0" w:line="240" w:lineRule="auto"/>
              <w:rPr>
                <w:rFonts w:ascii="Calibri" w:eastAsia="Times New Roman" w:hAnsi="Calibri" w:cs="Calibri"/>
                <w:color w:val="FF0000"/>
                <w:sz w:val="18"/>
                <w:szCs w:val="18"/>
                <w:lang w:eastAsia="de-DE"/>
              </w:rPr>
            </w:pPr>
            <w:r w:rsidRPr="002556AB">
              <w:rPr>
                <w:rFonts w:ascii="Calibri" w:eastAsia="Times New Roman" w:hAnsi="Calibri" w:cs="Calibri"/>
                <w:color w:val="FF0000"/>
                <w:sz w:val="18"/>
                <w:szCs w:val="18"/>
                <w:lang w:eastAsia="de-DE"/>
              </w:rPr>
              <w:t>an…</w:t>
            </w:r>
          </w:p>
        </w:tc>
        <w:tc>
          <w:tcPr>
            <w:tcW w:w="870" w:type="dxa"/>
            <w:tcBorders>
              <w:top w:val="nil"/>
              <w:left w:val="nil"/>
              <w:bottom w:val="nil"/>
              <w:right w:val="nil"/>
            </w:tcBorders>
            <w:shd w:val="clear" w:color="000000" w:fill="D9E1F2"/>
            <w:noWrap/>
            <w:vAlign w:val="bottom"/>
            <w:hideMark/>
          </w:tcPr>
          <w:p w14:paraId="29BFE9E4"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2268" w:type="dxa"/>
            <w:tcBorders>
              <w:top w:val="nil"/>
              <w:left w:val="nil"/>
              <w:bottom w:val="nil"/>
              <w:right w:val="nil"/>
            </w:tcBorders>
            <w:shd w:val="clear" w:color="000000" w:fill="D9E1F2"/>
            <w:noWrap/>
            <w:vAlign w:val="bottom"/>
            <w:hideMark/>
          </w:tcPr>
          <w:p w14:paraId="427CA4DF"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2127" w:type="dxa"/>
            <w:tcBorders>
              <w:top w:val="nil"/>
              <w:left w:val="nil"/>
              <w:bottom w:val="nil"/>
              <w:right w:val="single" w:sz="4" w:space="0" w:color="FF0000"/>
            </w:tcBorders>
            <w:shd w:val="clear" w:color="000000" w:fill="D9E1F2"/>
            <w:noWrap/>
            <w:vAlign w:val="bottom"/>
            <w:hideMark/>
          </w:tcPr>
          <w:p w14:paraId="42CDDF12"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r>
      <w:tr w:rsidR="002556AB" w:rsidRPr="002556AB" w14:paraId="3B206219" w14:textId="77777777" w:rsidTr="002556AB">
        <w:trPr>
          <w:trHeight w:val="290"/>
        </w:trPr>
        <w:tc>
          <w:tcPr>
            <w:tcW w:w="1960" w:type="dxa"/>
            <w:vMerge w:val="restart"/>
            <w:tcBorders>
              <w:top w:val="single" w:sz="4" w:space="0" w:color="F2F2F2"/>
              <w:left w:val="single" w:sz="4" w:space="0" w:color="FF0000"/>
              <w:bottom w:val="single" w:sz="4" w:space="0" w:color="F2F2F2"/>
              <w:right w:val="nil"/>
            </w:tcBorders>
            <w:shd w:val="clear" w:color="000000" w:fill="D9E1F2"/>
            <w:noWrap/>
            <w:vAlign w:val="center"/>
            <w:hideMark/>
          </w:tcPr>
          <w:p w14:paraId="100716F7"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Universitäten</w:t>
            </w:r>
          </w:p>
        </w:tc>
        <w:tc>
          <w:tcPr>
            <w:tcW w:w="870" w:type="dxa"/>
            <w:tcBorders>
              <w:top w:val="single" w:sz="4" w:space="0" w:color="F2F2F2"/>
              <w:left w:val="nil"/>
              <w:bottom w:val="single" w:sz="4" w:space="0" w:color="F2F2F2"/>
              <w:right w:val="nil"/>
            </w:tcBorders>
            <w:shd w:val="clear" w:color="000000" w:fill="D9E1F2"/>
            <w:noWrap/>
            <w:vAlign w:val="bottom"/>
            <w:hideMark/>
          </w:tcPr>
          <w:p w14:paraId="7B08C8AF"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2019</w:t>
            </w:r>
          </w:p>
        </w:tc>
        <w:tc>
          <w:tcPr>
            <w:tcW w:w="2268" w:type="dxa"/>
            <w:tcBorders>
              <w:top w:val="single" w:sz="4" w:space="0" w:color="F2F2F2"/>
              <w:left w:val="nil"/>
              <w:bottom w:val="single" w:sz="4" w:space="0" w:color="F2F2F2"/>
              <w:right w:val="nil"/>
            </w:tcBorders>
            <w:shd w:val="clear" w:color="000000" w:fill="D9E1F2"/>
            <w:noWrap/>
            <w:vAlign w:val="bottom"/>
            <w:hideMark/>
          </w:tcPr>
          <w:p w14:paraId="1B07E24E"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3,79%</w:t>
            </w:r>
          </w:p>
        </w:tc>
        <w:tc>
          <w:tcPr>
            <w:tcW w:w="2127" w:type="dxa"/>
            <w:tcBorders>
              <w:top w:val="single" w:sz="4" w:space="0" w:color="F2F2F2"/>
              <w:left w:val="nil"/>
              <w:bottom w:val="single" w:sz="4" w:space="0" w:color="F2F2F2"/>
              <w:right w:val="single" w:sz="4" w:space="0" w:color="FF0000"/>
            </w:tcBorders>
            <w:shd w:val="clear" w:color="000000" w:fill="D9E1F2"/>
            <w:noWrap/>
            <w:vAlign w:val="bottom"/>
            <w:hideMark/>
          </w:tcPr>
          <w:p w14:paraId="18818036"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82,76%</w:t>
            </w:r>
          </w:p>
        </w:tc>
      </w:tr>
      <w:tr w:rsidR="002556AB" w:rsidRPr="002556AB" w14:paraId="46595680" w14:textId="77777777" w:rsidTr="002556AB">
        <w:trPr>
          <w:trHeight w:val="290"/>
        </w:trPr>
        <w:tc>
          <w:tcPr>
            <w:tcW w:w="1960" w:type="dxa"/>
            <w:vMerge/>
            <w:tcBorders>
              <w:top w:val="single" w:sz="4" w:space="0" w:color="F2F2F2"/>
              <w:left w:val="single" w:sz="4" w:space="0" w:color="FF0000"/>
              <w:bottom w:val="single" w:sz="4" w:space="0" w:color="F2F2F2"/>
              <w:right w:val="nil"/>
            </w:tcBorders>
            <w:vAlign w:val="center"/>
            <w:hideMark/>
          </w:tcPr>
          <w:p w14:paraId="646021B0"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p>
        </w:tc>
        <w:tc>
          <w:tcPr>
            <w:tcW w:w="870" w:type="dxa"/>
            <w:tcBorders>
              <w:top w:val="nil"/>
              <w:left w:val="nil"/>
              <w:bottom w:val="single" w:sz="4" w:space="0" w:color="F2F2F2"/>
              <w:right w:val="nil"/>
            </w:tcBorders>
            <w:shd w:val="clear" w:color="000000" w:fill="D9E1F2"/>
            <w:noWrap/>
            <w:vAlign w:val="bottom"/>
            <w:hideMark/>
          </w:tcPr>
          <w:p w14:paraId="56F93726"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2018</w:t>
            </w:r>
          </w:p>
        </w:tc>
        <w:tc>
          <w:tcPr>
            <w:tcW w:w="2268" w:type="dxa"/>
            <w:tcBorders>
              <w:top w:val="nil"/>
              <w:left w:val="nil"/>
              <w:bottom w:val="single" w:sz="4" w:space="0" w:color="F2F2F2"/>
              <w:right w:val="nil"/>
            </w:tcBorders>
            <w:shd w:val="clear" w:color="000000" w:fill="D9E1F2"/>
            <w:noWrap/>
            <w:vAlign w:val="bottom"/>
            <w:hideMark/>
          </w:tcPr>
          <w:p w14:paraId="31C5A152"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3,75%</w:t>
            </w:r>
          </w:p>
        </w:tc>
        <w:tc>
          <w:tcPr>
            <w:tcW w:w="2127" w:type="dxa"/>
            <w:tcBorders>
              <w:top w:val="nil"/>
              <w:left w:val="nil"/>
              <w:bottom w:val="single" w:sz="4" w:space="0" w:color="F2F2F2"/>
              <w:right w:val="single" w:sz="4" w:space="0" w:color="FF0000"/>
            </w:tcBorders>
            <w:shd w:val="clear" w:color="000000" w:fill="D9E1F2"/>
            <w:noWrap/>
            <w:vAlign w:val="bottom"/>
            <w:hideMark/>
          </w:tcPr>
          <w:p w14:paraId="05CA8B94"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82,52%</w:t>
            </w:r>
          </w:p>
        </w:tc>
      </w:tr>
      <w:tr w:rsidR="002556AB" w:rsidRPr="002556AB" w14:paraId="73440674" w14:textId="77777777" w:rsidTr="002556AB">
        <w:trPr>
          <w:trHeight w:val="290"/>
        </w:trPr>
        <w:tc>
          <w:tcPr>
            <w:tcW w:w="1960" w:type="dxa"/>
            <w:tcBorders>
              <w:top w:val="nil"/>
              <w:left w:val="single" w:sz="4" w:space="0" w:color="FF0000"/>
              <w:bottom w:val="single" w:sz="4" w:space="0" w:color="F2F2F2"/>
              <w:right w:val="nil"/>
            </w:tcBorders>
            <w:shd w:val="clear" w:color="000000" w:fill="D9E1F2"/>
            <w:noWrap/>
            <w:vAlign w:val="center"/>
            <w:hideMark/>
          </w:tcPr>
          <w:p w14:paraId="6C584D01"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870" w:type="dxa"/>
            <w:tcBorders>
              <w:top w:val="nil"/>
              <w:left w:val="nil"/>
              <w:bottom w:val="single" w:sz="4" w:space="0" w:color="F2F2F2"/>
              <w:right w:val="nil"/>
            </w:tcBorders>
            <w:shd w:val="clear" w:color="000000" w:fill="D9E1F2"/>
            <w:noWrap/>
            <w:vAlign w:val="bottom"/>
            <w:hideMark/>
          </w:tcPr>
          <w:p w14:paraId="128F1DC5"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2268" w:type="dxa"/>
            <w:tcBorders>
              <w:top w:val="nil"/>
              <w:left w:val="nil"/>
              <w:bottom w:val="single" w:sz="4" w:space="0" w:color="F2F2F2"/>
              <w:right w:val="nil"/>
            </w:tcBorders>
            <w:shd w:val="clear" w:color="000000" w:fill="D9E1F2"/>
            <w:noWrap/>
            <w:vAlign w:val="bottom"/>
            <w:hideMark/>
          </w:tcPr>
          <w:p w14:paraId="1775D287"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c>
          <w:tcPr>
            <w:tcW w:w="2127" w:type="dxa"/>
            <w:tcBorders>
              <w:top w:val="nil"/>
              <w:left w:val="nil"/>
              <w:bottom w:val="single" w:sz="4" w:space="0" w:color="F2F2F2"/>
              <w:right w:val="single" w:sz="4" w:space="0" w:color="FF0000"/>
            </w:tcBorders>
            <w:shd w:val="clear" w:color="000000" w:fill="D9E1F2"/>
            <w:noWrap/>
            <w:vAlign w:val="bottom"/>
            <w:hideMark/>
          </w:tcPr>
          <w:p w14:paraId="1E1A5538"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 </w:t>
            </w:r>
          </w:p>
        </w:tc>
      </w:tr>
      <w:tr w:rsidR="002556AB" w:rsidRPr="002556AB" w14:paraId="67731877" w14:textId="77777777" w:rsidTr="002556AB">
        <w:trPr>
          <w:trHeight w:val="290"/>
        </w:trPr>
        <w:tc>
          <w:tcPr>
            <w:tcW w:w="1960" w:type="dxa"/>
            <w:vMerge w:val="restart"/>
            <w:tcBorders>
              <w:top w:val="nil"/>
              <w:left w:val="single" w:sz="4" w:space="0" w:color="FF0000"/>
              <w:bottom w:val="single" w:sz="4" w:space="0" w:color="FF0000"/>
              <w:right w:val="nil"/>
            </w:tcBorders>
            <w:shd w:val="clear" w:color="000000" w:fill="D9E1F2"/>
            <w:vAlign w:val="center"/>
            <w:hideMark/>
          </w:tcPr>
          <w:p w14:paraId="13B88A6D"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Pädagogische Hochschulen</w:t>
            </w:r>
          </w:p>
        </w:tc>
        <w:tc>
          <w:tcPr>
            <w:tcW w:w="870" w:type="dxa"/>
            <w:tcBorders>
              <w:top w:val="nil"/>
              <w:left w:val="nil"/>
              <w:bottom w:val="single" w:sz="4" w:space="0" w:color="F2F2F2"/>
              <w:right w:val="nil"/>
            </w:tcBorders>
            <w:shd w:val="clear" w:color="000000" w:fill="D9E1F2"/>
            <w:noWrap/>
            <w:vAlign w:val="bottom"/>
            <w:hideMark/>
          </w:tcPr>
          <w:p w14:paraId="29A33BDC"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2019</w:t>
            </w:r>
          </w:p>
        </w:tc>
        <w:tc>
          <w:tcPr>
            <w:tcW w:w="2268" w:type="dxa"/>
            <w:tcBorders>
              <w:top w:val="nil"/>
              <w:left w:val="nil"/>
              <w:bottom w:val="single" w:sz="4" w:space="0" w:color="F2F2F2"/>
              <w:right w:val="nil"/>
            </w:tcBorders>
            <w:shd w:val="clear" w:color="000000" w:fill="D9E1F2"/>
            <w:noWrap/>
            <w:vAlign w:val="bottom"/>
            <w:hideMark/>
          </w:tcPr>
          <w:p w14:paraId="763C2C9A"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17,71%</w:t>
            </w:r>
          </w:p>
        </w:tc>
        <w:tc>
          <w:tcPr>
            <w:tcW w:w="2127" w:type="dxa"/>
            <w:tcBorders>
              <w:top w:val="nil"/>
              <w:left w:val="nil"/>
              <w:bottom w:val="single" w:sz="4" w:space="0" w:color="F2F2F2"/>
              <w:right w:val="single" w:sz="4" w:space="0" w:color="FF0000"/>
            </w:tcBorders>
            <w:shd w:val="clear" w:color="000000" w:fill="D9E1F2"/>
            <w:noWrap/>
            <w:vAlign w:val="bottom"/>
            <w:hideMark/>
          </w:tcPr>
          <w:p w14:paraId="7D880D4C"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73,21%</w:t>
            </w:r>
          </w:p>
        </w:tc>
      </w:tr>
      <w:tr w:rsidR="002556AB" w:rsidRPr="002556AB" w14:paraId="30EC1083" w14:textId="77777777" w:rsidTr="002556AB">
        <w:trPr>
          <w:trHeight w:val="290"/>
        </w:trPr>
        <w:tc>
          <w:tcPr>
            <w:tcW w:w="1960" w:type="dxa"/>
            <w:vMerge/>
            <w:tcBorders>
              <w:top w:val="nil"/>
              <w:left w:val="single" w:sz="4" w:space="0" w:color="FF0000"/>
              <w:bottom w:val="single" w:sz="4" w:space="0" w:color="FF0000"/>
              <w:right w:val="nil"/>
            </w:tcBorders>
            <w:vAlign w:val="center"/>
            <w:hideMark/>
          </w:tcPr>
          <w:p w14:paraId="457E70CF" w14:textId="77777777" w:rsidR="002556AB" w:rsidRPr="002556AB" w:rsidRDefault="002556AB" w:rsidP="002556AB">
            <w:pPr>
              <w:spacing w:after="0" w:line="240" w:lineRule="auto"/>
              <w:rPr>
                <w:rFonts w:ascii="Calibri" w:eastAsia="Times New Roman" w:hAnsi="Calibri" w:cs="Calibri"/>
                <w:color w:val="000000"/>
                <w:sz w:val="18"/>
                <w:szCs w:val="18"/>
                <w:lang w:eastAsia="de-DE"/>
              </w:rPr>
            </w:pPr>
          </w:p>
        </w:tc>
        <w:tc>
          <w:tcPr>
            <w:tcW w:w="870" w:type="dxa"/>
            <w:tcBorders>
              <w:top w:val="nil"/>
              <w:left w:val="nil"/>
              <w:bottom w:val="single" w:sz="4" w:space="0" w:color="FF0000"/>
              <w:right w:val="nil"/>
            </w:tcBorders>
            <w:shd w:val="clear" w:color="000000" w:fill="D9E1F2"/>
            <w:noWrap/>
            <w:vAlign w:val="bottom"/>
            <w:hideMark/>
          </w:tcPr>
          <w:p w14:paraId="1EBA9E67"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2018</w:t>
            </w:r>
          </w:p>
        </w:tc>
        <w:tc>
          <w:tcPr>
            <w:tcW w:w="2268" w:type="dxa"/>
            <w:tcBorders>
              <w:top w:val="nil"/>
              <w:left w:val="nil"/>
              <w:bottom w:val="single" w:sz="4" w:space="0" w:color="FF0000"/>
              <w:right w:val="nil"/>
            </w:tcBorders>
            <w:shd w:val="clear" w:color="000000" w:fill="D9E1F2"/>
            <w:noWrap/>
            <w:vAlign w:val="bottom"/>
            <w:hideMark/>
          </w:tcPr>
          <w:p w14:paraId="785B89CA"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17,91%</w:t>
            </w:r>
          </w:p>
        </w:tc>
        <w:tc>
          <w:tcPr>
            <w:tcW w:w="2127" w:type="dxa"/>
            <w:tcBorders>
              <w:top w:val="nil"/>
              <w:left w:val="nil"/>
              <w:bottom w:val="single" w:sz="4" w:space="0" w:color="FF0000"/>
              <w:right w:val="single" w:sz="4" w:space="0" w:color="FF0000"/>
            </w:tcBorders>
            <w:shd w:val="clear" w:color="000000" w:fill="D9E1F2"/>
            <w:noWrap/>
            <w:vAlign w:val="bottom"/>
            <w:hideMark/>
          </w:tcPr>
          <w:p w14:paraId="6AC2094F" w14:textId="77777777" w:rsidR="002556AB" w:rsidRPr="002556AB" w:rsidRDefault="002556AB" w:rsidP="002556AB">
            <w:pPr>
              <w:spacing w:after="0" w:line="240" w:lineRule="auto"/>
              <w:jc w:val="right"/>
              <w:rPr>
                <w:rFonts w:ascii="Calibri" w:eastAsia="Times New Roman" w:hAnsi="Calibri" w:cs="Calibri"/>
                <w:color w:val="000000"/>
                <w:sz w:val="18"/>
                <w:szCs w:val="18"/>
                <w:lang w:eastAsia="de-DE"/>
              </w:rPr>
            </w:pPr>
            <w:r w:rsidRPr="002556AB">
              <w:rPr>
                <w:rFonts w:ascii="Calibri" w:eastAsia="Times New Roman" w:hAnsi="Calibri" w:cs="Calibri"/>
                <w:color w:val="000000"/>
                <w:sz w:val="18"/>
                <w:szCs w:val="18"/>
                <w:lang w:eastAsia="de-DE"/>
              </w:rPr>
              <w:t>70,97%</w:t>
            </w:r>
          </w:p>
        </w:tc>
      </w:tr>
    </w:tbl>
    <w:p w14:paraId="126682F8" w14:textId="77777777" w:rsidR="002556AB" w:rsidRDefault="002556AB" w:rsidP="00B65602">
      <w:pPr>
        <w:tabs>
          <w:tab w:val="left" w:pos="2380"/>
        </w:tabs>
      </w:pPr>
    </w:p>
    <w:p w14:paraId="356311A1" w14:textId="45FEFEB7" w:rsidR="00E066C8" w:rsidRDefault="00E066C8" w:rsidP="00B65602">
      <w:pPr>
        <w:tabs>
          <w:tab w:val="left" w:pos="2380"/>
        </w:tabs>
      </w:pPr>
      <w:r>
        <w:t xml:space="preserve">Die aktuellste Erhebung des Statistischen Landesamtes der Einnahmen und Ausgaben der Hochschulen und Universitäten in Baden-Württemberg begrenzt </w:t>
      </w:r>
      <w:r w:rsidR="008924D4">
        <w:t>sich auf die beiden Jahre 2018 und 2019</w:t>
      </w:r>
      <w:r w:rsidR="00D25FDE">
        <w:t xml:space="preserve">. Für eine ausführlichere Betrachtung der Entwicklung wäre </w:t>
      </w:r>
    </w:p>
    <w:p w14:paraId="5B70D622" w14:textId="77777777" w:rsidR="00E56844" w:rsidRDefault="00E56844" w:rsidP="00560902">
      <w:pPr>
        <w:tabs>
          <w:tab w:val="left" w:pos="2380"/>
        </w:tabs>
        <w:jc w:val="right"/>
      </w:pPr>
    </w:p>
    <w:p w14:paraId="5FAE850A" w14:textId="50DA22AB" w:rsidR="00560902" w:rsidRPr="00B65602" w:rsidRDefault="00560902" w:rsidP="00560902">
      <w:pPr>
        <w:tabs>
          <w:tab w:val="left" w:pos="2380"/>
        </w:tabs>
        <w:jc w:val="right"/>
      </w:pPr>
      <w:r>
        <w:t>Stand: 09.02.2021</w:t>
      </w:r>
    </w:p>
    <w:sectPr w:rsidR="00560902" w:rsidRPr="00B65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88"/>
    <w:rsid w:val="00003B69"/>
    <w:rsid w:val="00041877"/>
    <w:rsid w:val="0004546D"/>
    <w:rsid w:val="000C5B08"/>
    <w:rsid w:val="000D7D7D"/>
    <w:rsid w:val="000F31B8"/>
    <w:rsid w:val="000F4246"/>
    <w:rsid w:val="000F6F3F"/>
    <w:rsid w:val="00112529"/>
    <w:rsid w:val="0011372F"/>
    <w:rsid w:val="00156091"/>
    <w:rsid w:val="001655EF"/>
    <w:rsid w:val="00181A1A"/>
    <w:rsid w:val="001C5CC0"/>
    <w:rsid w:val="001C7324"/>
    <w:rsid w:val="001E14FA"/>
    <w:rsid w:val="001F02CE"/>
    <w:rsid w:val="0020411A"/>
    <w:rsid w:val="002177B3"/>
    <w:rsid w:val="00225767"/>
    <w:rsid w:val="00251BA8"/>
    <w:rsid w:val="002556AB"/>
    <w:rsid w:val="0027705E"/>
    <w:rsid w:val="0028110B"/>
    <w:rsid w:val="00283497"/>
    <w:rsid w:val="002A6D91"/>
    <w:rsid w:val="002B6D9E"/>
    <w:rsid w:val="00306828"/>
    <w:rsid w:val="0031214D"/>
    <w:rsid w:val="00322218"/>
    <w:rsid w:val="00331A4B"/>
    <w:rsid w:val="0033594B"/>
    <w:rsid w:val="003978CA"/>
    <w:rsid w:val="003A1B1A"/>
    <w:rsid w:val="003B384D"/>
    <w:rsid w:val="003B4CDA"/>
    <w:rsid w:val="003C3654"/>
    <w:rsid w:val="003D370A"/>
    <w:rsid w:val="004125A3"/>
    <w:rsid w:val="00430239"/>
    <w:rsid w:val="00430507"/>
    <w:rsid w:val="00453CCE"/>
    <w:rsid w:val="00464470"/>
    <w:rsid w:val="00481F86"/>
    <w:rsid w:val="004A3FA6"/>
    <w:rsid w:val="004A6529"/>
    <w:rsid w:val="004B14D6"/>
    <w:rsid w:val="004B5937"/>
    <w:rsid w:val="00503B42"/>
    <w:rsid w:val="00530CC3"/>
    <w:rsid w:val="00534E13"/>
    <w:rsid w:val="00560902"/>
    <w:rsid w:val="0059302C"/>
    <w:rsid w:val="00596ABA"/>
    <w:rsid w:val="005B4713"/>
    <w:rsid w:val="005D3CB2"/>
    <w:rsid w:val="00617B36"/>
    <w:rsid w:val="00651077"/>
    <w:rsid w:val="0065482E"/>
    <w:rsid w:val="00655A76"/>
    <w:rsid w:val="00660FA2"/>
    <w:rsid w:val="00666492"/>
    <w:rsid w:val="006A5BD4"/>
    <w:rsid w:val="006B0D3C"/>
    <w:rsid w:val="006C1739"/>
    <w:rsid w:val="006F2122"/>
    <w:rsid w:val="007048FA"/>
    <w:rsid w:val="007213FB"/>
    <w:rsid w:val="007268E3"/>
    <w:rsid w:val="00744912"/>
    <w:rsid w:val="00781431"/>
    <w:rsid w:val="0078245B"/>
    <w:rsid w:val="00794103"/>
    <w:rsid w:val="007962E4"/>
    <w:rsid w:val="007B5A7C"/>
    <w:rsid w:val="007D63D0"/>
    <w:rsid w:val="007E7972"/>
    <w:rsid w:val="00803988"/>
    <w:rsid w:val="00804730"/>
    <w:rsid w:val="00837C10"/>
    <w:rsid w:val="00843D46"/>
    <w:rsid w:val="00883675"/>
    <w:rsid w:val="008924D4"/>
    <w:rsid w:val="008A7E4C"/>
    <w:rsid w:val="008B43A5"/>
    <w:rsid w:val="008C036B"/>
    <w:rsid w:val="008E7E4A"/>
    <w:rsid w:val="00901A63"/>
    <w:rsid w:val="00975240"/>
    <w:rsid w:val="0099174C"/>
    <w:rsid w:val="009C5B31"/>
    <w:rsid w:val="009C7913"/>
    <w:rsid w:val="009F4F83"/>
    <w:rsid w:val="00A0095E"/>
    <w:rsid w:val="00A20609"/>
    <w:rsid w:val="00A323E8"/>
    <w:rsid w:val="00A51E69"/>
    <w:rsid w:val="00A67B22"/>
    <w:rsid w:val="00AB6786"/>
    <w:rsid w:val="00AB797D"/>
    <w:rsid w:val="00AC4D3C"/>
    <w:rsid w:val="00AD3548"/>
    <w:rsid w:val="00B1024F"/>
    <w:rsid w:val="00B11583"/>
    <w:rsid w:val="00B164B7"/>
    <w:rsid w:val="00B411A2"/>
    <w:rsid w:val="00B44074"/>
    <w:rsid w:val="00B60B95"/>
    <w:rsid w:val="00B6384F"/>
    <w:rsid w:val="00B65602"/>
    <w:rsid w:val="00B762FD"/>
    <w:rsid w:val="00BA085A"/>
    <w:rsid w:val="00BA1FA7"/>
    <w:rsid w:val="00BC273A"/>
    <w:rsid w:val="00BD4F64"/>
    <w:rsid w:val="00C025C4"/>
    <w:rsid w:val="00C26426"/>
    <w:rsid w:val="00C54642"/>
    <w:rsid w:val="00C54A59"/>
    <w:rsid w:val="00C9194A"/>
    <w:rsid w:val="00C9410D"/>
    <w:rsid w:val="00CE0C6C"/>
    <w:rsid w:val="00D25FDE"/>
    <w:rsid w:val="00D450D5"/>
    <w:rsid w:val="00D633A2"/>
    <w:rsid w:val="00D87745"/>
    <w:rsid w:val="00DA0D11"/>
    <w:rsid w:val="00DA5E7E"/>
    <w:rsid w:val="00DC475C"/>
    <w:rsid w:val="00E02465"/>
    <w:rsid w:val="00E066C8"/>
    <w:rsid w:val="00E15301"/>
    <w:rsid w:val="00E56844"/>
    <w:rsid w:val="00E864E2"/>
    <w:rsid w:val="00E86939"/>
    <w:rsid w:val="00E91308"/>
    <w:rsid w:val="00ED0657"/>
    <w:rsid w:val="00ED5889"/>
    <w:rsid w:val="00EF0692"/>
    <w:rsid w:val="00EF07E2"/>
    <w:rsid w:val="00EF4784"/>
    <w:rsid w:val="00F16DA3"/>
    <w:rsid w:val="00F42B0E"/>
    <w:rsid w:val="00F52FD4"/>
    <w:rsid w:val="00F63F15"/>
    <w:rsid w:val="00F67B2F"/>
    <w:rsid w:val="00FA7129"/>
    <w:rsid w:val="00FC3333"/>
    <w:rsid w:val="00FC45CD"/>
    <w:rsid w:val="00FE1A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D591"/>
  <w15:chartTrackingRefBased/>
  <w15:docId w15:val="{976AF9CA-6C81-439B-A47D-36C721E6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2135">
      <w:bodyDiv w:val="1"/>
      <w:marLeft w:val="0"/>
      <w:marRight w:val="0"/>
      <w:marTop w:val="0"/>
      <w:marBottom w:val="0"/>
      <w:divBdr>
        <w:top w:val="none" w:sz="0" w:space="0" w:color="auto"/>
        <w:left w:val="none" w:sz="0" w:space="0" w:color="auto"/>
        <w:bottom w:val="none" w:sz="0" w:space="0" w:color="auto"/>
        <w:right w:val="none" w:sz="0" w:space="0" w:color="auto"/>
      </w:divBdr>
    </w:div>
    <w:div w:id="425686167">
      <w:bodyDiv w:val="1"/>
      <w:marLeft w:val="0"/>
      <w:marRight w:val="0"/>
      <w:marTop w:val="0"/>
      <w:marBottom w:val="0"/>
      <w:divBdr>
        <w:top w:val="none" w:sz="0" w:space="0" w:color="auto"/>
        <w:left w:val="none" w:sz="0" w:space="0" w:color="auto"/>
        <w:bottom w:val="none" w:sz="0" w:space="0" w:color="auto"/>
        <w:right w:val="none" w:sz="0" w:space="0" w:color="auto"/>
      </w:divBdr>
    </w:div>
    <w:div w:id="19624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him\Desktop\Proj%20Hochschulfinanzierung\Hochschulstatistik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him\Desktop\Proj%20Hochschulfinanzierung\Hochschulstatistik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him\Desktop\Proj%20Hochschulfinanzierung\Hochschulstatistik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120" normalizeH="0" baseline="0">
                <a:solidFill>
                  <a:schemeClr val="tx1">
                    <a:lumMod val="65000"/>
                    <a:lumOff val="35000"/>
                  </a:schemeClr>
                </a:solidFill>
                <a:latin typeface="+mn-lt"/>
                <a:ea typeface="+mn-ea"/>
                <a:cs typeface="+mn-cs"/>
              </a:defRPr>
            </a:pPr>
            <a:r>
              <a:rPr lang="de-DE" sz="1200" cap="none" baseline="0"/>
              <a:t>Entwicklung Studierendenzahlen [BW]</a:t>
            </a:r>
          </a:p>
        </c:rich>
      </c:tx>
      <c:overlay val="0"/>
      <c:spPr>
        <a:noFill/>
        <a:ln>
          <a:noFill/>
        </a:ln>
        <a:effectLst/>
      </c:spPr>
      <c:txPr>
        <a:bodyPr rot="0" spcFirstLastPara="1" vertOverflow="ellipsis" vert="horz" wrap="square" anchor="ctr" anchorCtr="1"/>
        <a:lstStyle/>
        <a:p>
          <a:pPr>
            <a:defRPr sz="1200" b="1" i="0" u="none" strike="noStrike" kern="1200" cap="none" spc="120" normalizeH="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2"/>
          <c:order val="2"/>
          <c:tx>
            <c:v>Universitäten</c:v>
          </c:tx>
          <c:spPr>
            <a:ln w="22225" cap="rnd">
              <a:solidFill>
                <a:schemeClr val="accent1"/>
              </a:solidFill>
              <a:round/>
            </a:ln>
            <a:effectLst/>
          </c:spPr>
          <c:marker>
            <c:symbol val="none"/>
          </c:marker>
          <c:cat>
            <c:strRef>
              <c:f>St!$A$61:$A$80</c:f>
              <c:strCache>
                <c:ptCount val="20"/>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strCache>
            </c:strRef>
          </c:cat>
          <c:val>
            <c:numRef>
              <c:f>St!$D$61:$D$80</c:f>
              <c:numCache>
                <c:formatCode>#,##0</c:formatCode>
                <c:ptCount val="20"/>
                <c:pt idx="0">
                  <c:v>114993</c:v>
                </c:pt>
                <c:pt idx="1">
                  <c:v>120562</c:v>
                </c:pt>
                <c:pt idx="2">
                  <c:v>126781</c:v>
                </c:pt>
                <c:pt idx="3">
                  <c:v>134166</c:v>
                </c:pt>
                <c:pt idx="4">
                  <c:v>138654</c:v>
                </c:pt>
                <c:pt idx="5">
                  <c:v>140906</c:v>
                </c:pt>
                <c:pt idx="6">
                  <c:v>141469</c:v>
                </c:pt>
                <c:pt idx="7">
                  <c:v>133895</c:v>
                </c:pt>
                <c:pt idx="8">
                  <c:v>136393</c:v>
                </c:pt>
                <c:pt idx="9">
                  <c:v>142512</c:v>
                </c:pt>
                <c:pt idx="10">
                  <c:v>147785</c:v>
                </c:pt>
                <c:pt idx="11">
                  <c:v>156533</c:v>
                </c:pt>
                <c:pt idx="12">
                  <c:v>168820</c:v>
                </c:pt>
                <c:pt idx="13">
                  <c:v>174606</c:v>
                </c:pt>
                <c:pt idx="14">
                  <c:v>176898</c:v>
                </c:pt>
                <c:pt idx="15">
                  <c:v>177679</c:v>
                </c:pt>
                <c:pt idx="16">
                  <c:v>178962</c:v>
                </c:pt>
                <c:pt idx="17">
                  <c:v>174990</c:v>
                </c:pt>
                <c:pt idx="18">
                  <c:v>171645</c:v>
                </c:pt>
                <c:pt idx="19">
                  <c:v>168671</c:v>
                </c:pt>
              </c:numCache>
            </c:numRef>
          </c:val>
          <c:smooth val="0"/>
          <c:extLst>
            <c:ext xmlns:c16="http://schemas.microsoft.com/office/drawing/2014/chart" uri="{C3380CC4-5D6E-409C-BE32-E72D297353CC}">
              <c16:uniqueId val="{00000000-45F7-43FB-B912-BC3FB45A9C5B}"/>
            </c:ext>
          </c:extLst>
        </c:ser>
        <c:ser>
          <c:idx val="4"/>
          <c:order val="4"/>
          <c:tx>
            <c:v>Pädagogische Hochschulen</c:v>
          </c:tx>
          <c:spPr>
            <a:ln w="22225" cap="rnd">
              <a:solidFill>
                <a:schemeClr val="accent2"/>
              </a:solidFill>
              <a:round/>
            </a:ln>
            <a:effectLst/>
          </c:spPr>
          <c:marker>
            <c:symbol val="none"/>
          </c:marker>
          <c:cat>
            <c:strRef>
              <c:f>St!$A$61:$A$80</c:f>
              <c:strCache>
                <c:ptCount val="20"/>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strCache>
            </c:strRef>
          </c:cat>
          <c:val>
            <c:numRef>
              <c:f>St!$F$61:$F$80</c:f>
              <c:numCache>
                <c:formatCode>#,##0</c:formatCode>
                <c:ptCount val="20"/>
                <c:pt idx="0">
                  <c:v>15029</c:v>
                </c:pt>
                <c:pt idx="1">
                  <c:v>16432</c:v>
                </c:pt>
                <c:pt idx="2">
                  <c:v>18366</c:v>
                </c:pt>
                <c:pt idx="3">
                  <c:v>20214</c:v>
                </c:pt>
                <c:pt idx="4">
                  <c:v>21244</c:v>
                </c:pt>
                <c:pt idx="5">
                  <c:v>21786</c:v>
                </c:pt>
                <c:pt idx="6">
                  <c:v>21680</c:v>
                </c:pt>
                <c:pt idx="7">
                  <c:v>19937</c:v>
                </c:pt>
                <c:pt idx="8">
                  <c:v>19690</c:v>
                </c:pt>
                <c:pt idx="9">
                  <c:v>20918</c:v>
                </c:pt>
                <c:pt idx="10">
                  <c:v>21857</c:v>
                </c:pt>
                <c:pt idx="11">
                  <c:v>22500</c:v>
                </c:pt>
                <c:pt idx="12">
                  <c:v>23979</c:v>
                </c:pt>
                <c:pt idx="13">
                  <c:v>24141</c:v>
                </c:pt>
                <c:pt idx="14">
                  <c:v>23967</c:v>
                </c:pt>
                <c:pt idx="15">
                  <c:v>23646</c:v>
                </c:pt>
                <c:pt idx="16">
                  <c:v>24319</c:v>
                </c:pt>
                <c:pt idx="17">
                  <c:v>24330</c:v>
                </c:pt>
                <c:pt idx="18">
                  <c:v>24195</c:v>
                </c:pt>
                <c:pt idx="19">
                  <c:v>24923</c:v>
                </c:pt>
              </c:numCache>
            </c:numRef>
          </c:val>
          <c:smooth val="0"/>
          <c:extLst>
            <c:ext xmlns:c16="http://schemas.microsoft.com/office/drawing/2014/chart" uri="{C3380CC4-5D6E-409C-BE32-E72D297353CC}">
              <c16:uniqueId val="{00000001-45F7-43FB-B912-BC3FB45A9C5B}"/>
            </c:ext>
          </c:extLst>
        </c:ser>
        <c:dLbls>
          <c:showLegendKey val="0"/>
          <c:showVal val="0"/>
          <c:showCatName val="0"/>
          <c:showSerName val="0"/>
          <c:showPercent val="0"/>
          <c:showBubbleSize val="0"/>
        </c:dLbls>
        <c:smooth val="0"/>
        <c:axId val="447230920"/>
        <c:axId val="447233544"/>
        <c:extLst>
          <c:ext xmlns:c15="http://schemas.microsoft.com/office/drawing/2012/chart" uri="{02D57815-91ED-43cb-92C2-25804820EDAC}">
            <c15:filteredLineSeries>
              <c15:ser>
                <c:idx val="0"/>
                <c:order val="0"/>
                <c:tx>
                  <c:v>Insgesamt</c:v>
                </c:tx>
                <c:spPr>
                  <a:ln w="22225" cap="rnd">
                    <a:solidFill>
                      <a:schemeClr val="accent1"/>
                    </a:solidFill>
                    <a:round/>
                  </a:ln>
                  <a:effectLst/>
                </c:spPr>
                <c:marker>
                  <c:symbol val="none"/>
                </c:marker>
                <c:cat>
                  <c:strRef>
                    <c:extLst>
                      <c:ext uri="{02D57815-91ED-43cb-92C2-25804820EDAC}">
                        <c15:formulaRef>
                          <c15:sqref>St!$A$61:$A$80</c15:sqref>
                        </c15:formulaRef>
                      </c:ext>
                    </c:extLst>
                    <c:strCache>
                      <c:ptCount val="20"/>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strCache>
                  </c:strRef>
                </c:cat>
                <c:val>
                  <c:numRef>
                    <c:extLst>
                      <c:ext uri="{02D57815-91ED-43cb-92C2-25804820EDAC}">
                        <c15:formulaRef>
                          <c15:sqref>St!$B$61:$B$80</c15:sqref>
                        </c15:formulaRef>
                      </c:ext>
                    </c:extLst>
                    <c:numCache>
                      <c:formatCode>#,##0</c:formatCode>
                      <c:ptCount val="20"/>
                      <c:pt idx="0">
                        <c:v>194000</c:v>
                      </c:pt>
                      <c:pt idx="1">
                        <c:v>204530</c:v>
                      </c:pt>
                      <c:pt idx="2">
                        <c:v>217157</c:v>
                      </c:pt>
                      <c:pt idx="3">
                        <c:v>229327</c:v>
                      </c:pt>
                      <c:pt idx="4">
                        <c:v>237687</c:v>
                      </c:pt>
                      <c:pt idx="5">
                        <c:v>242559</c:v>
                      </c:pt>
                      <c:pt idx="6">
                        <c:v>242938</c:v>
                      </c:pt>
                      <c:pt idx="7">
                        <c:v>231509</c:v>
                      </c:pt>
                      <c:pt idx="8">
                        <c:v>259237</c:v>
                      </c:pt>
                      <c:pt idx="9">
                        <c:v>275005</c:v>
                      </c:pt>
                      <c:pt idx="10">
                        <c:v>287463</c:v>
                      </c:pt>
                      <c:pt idx="11">
                        <c:v>304994</c:v>
                      </c:pt>
                      <c:pt idx="12">
                        <c:v>330155</c:v>
                      </c:pt>
                      <c:pt idx="13">
                        <c:v>344425</c:v>
                      </c:pt>
                      <c:pt idx="14">
                        <c:v>354166</c:v>
                      </c:pt>
                      <c:pt idx="15">
                        <c:v>356689</c:v>
                      </c:pt>
                      <c:pt idx="16">
                        <c:v>359862</c:v>
                      </c:pt>
                      <c:pt idx="17">
                        <c:v>359749</c:v>
                      </c:pt>
                      <c:pt idx="18">
                        <c:v>357710</c:v>
                      </c:pt>
                      <c:pt idx="19">
                        <c:v>356901</c:v>
                      </c:pt>
                    </c:numCache>
                  </c:numRef>
                </c:val>
                <c:smooth val="0"/>
                <c:extLst>
                  <c:ext xmlns:c16="http://schemas.microsoft.com/office/drawing/2014/chart" uri="{C3380CC4-5D6E-409C-BE32-E72D297353CC}">
                    <c16:uniqueId val="{00000002-45F7-43FB-B912-BC3FB45A9C5B}"/>
                  </c:ext>
                </c:extLst>
              </c15:ser>
            </c15:filteredLineSeries>
            <c15:filteredLineSeries>
              <c15:ser>
                <c:idx val="1"/>
                <c:order val="1"/>
                <c:spPr>
                  <a:ln w="2222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St!$A$61:$A$80</c15:sqref>
                        </c15:formulaRef>
                      </c:ext>
                    </c:extLst>
                    <c:strCache>
                      <c:ptCount val="20"/>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strCache>
                  </c:strRef>
                </c:cat>
                <c:val>
                  <c:numRef>
                    <c:extLst xmlns:c15="http://schemas.microsoft.com/office/drawing/2012/chart">
                      <c:ext xmlns:c15="http://schemas.microsoft.com/office/drawing/2012/chart" uri="{02D57815-91ED-43cb-92C2-25804820EDAC}">
                        <c15:formulaRef>
                          <c15:sqref>St!$C$61:$C$80</c15:sqref>
                        </c15:formulaRef>
                      </c:ext>
                    </c:extLst>
                    <c:numCache>
                      <c:formatCode>#,##0</c:formatCode>
                      <c:ptCount val="20"/>
                      <c:pt idx="0">
                        <c:v>85101</c:v>
                      </c:pt>
                      <c:pt idx="1">
                        <c:v>92008</c:v>
                      </c:pt>
                      <c:pt idx="2">
                        <c:v>99794</c:v>
                      </c:pt>
                      <c:pt idx="3">
                        <c:v>106303</c:v>
                      </c:pt>
                      <c:pt idx="4">
                        <c:v>110921</c:v>
                      </c:pt>
                      <c:pt idx="5">
                        <c:v>113594</c:v>
                      </c:pt>
                      <c:pt idx="6">
                        <c:v>114014</c:v>
                      </c:pt>
                      <c:pt idx="7">
                        <c:v>108447</c:v>
                      </c:pt>
                      <c:pt idx="8">
                        <c:v>111156</c:v>
                      </c:pt>
                      <c:pt idx="9">
                        <c:v>128962</c:v>
                      </c:pt>
                      <c:pt idx="10">
                        <c:v>135033</c:v>
                      </c:pt>
                      <c:pt idx="11">
                        <c:v>141023</c:v>
                      </c:pt>
                      <c:pt idx="12">
                        <c:v>153154</c:v>
                      </c:pt>
                      <c:pt idx="13">
                        <c:v>160617</c:v>
                      </c:pt>
                      <c:pt idx="14">
                        <c:v>165354</c:v>
                      </c:pt>
                      <c:pt idx="15">
                        <c:v>167357</c:v>
                      </c:pt>
                      <c:pt idx="16">
                        <c:v>170435</c:v>
                      </c:pt>
                      <c:pt idx="17">
                        <c:v>171702</c:v>
                      </c:pt>
                      <c:pt idx="18">
                        <c:v>172105</c:v>
                      </c:pt>
                      <c:pt idx="19">
                        <c:v>172947</c:v>
                      </c:pt>
                    </c:numCache>
                  </c:numRef>
                </c:val>
                <c:smooth val="0"/>
                <c:extLst xmlns:c15="http://schemas.microsoft.com/office/drawing/2012/chart">
                  <c:ext xmlns:c16="http://schemas.microsoft.com/office/drawing/2014/chart" uri="{C3380CC4-5D6E-409C-BE32-E72D297353CC}">
                    <c16:uniqueId val="{00000003-45F7-43FB-B912-BC3FB45A9C5B}"/>
                  </c:ext>
                </c:extLst>
              </c15:ser>
            </c15:filteredLineSeries>
            <c15:filteredLineSeries>
              <c15:ser>
                <c:idx val="3"/>
                <c:order val="3"/>
                <c:spPr>
                  <a:ln w="2222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St!$A$61:$A$80</c15:sqref>
                        </c15:formulaRef>
                      </c:ext>
                    </c:extLst>
                    <c:strCache>
                      <c:ptCount val="20"/>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strCache>
                  </c:strRef>
                </c:cat>
                <c:val>
                  <c:numRef>
                    <c:extLst xmlns:c15="http://schemas.microsoft.com/office/drawing/2012/chart">
                      <c:ext xmlns:c15="http://schemas.microsoft.com/office/drawing/2012/chart" uri="{02D57815-91ED-43cb-92C2-25804820EDAC}">
                        <c15:formulaRef>
                          <c15:sqref>St!$E$61:$E$80</c15:sqref>
                        </c15:formulaRef>
                      </c:ext>
                    </c:extLst>
                    <c:numCache>
                      <c:formatCode>#,##0</c:formatCode>
                      <c:ptCount val="20"/>
                      <c:pt idx="0">
                        <c:v>50401</c:v>
                      </c:pt>
                      <c:pt idx="1">
                        <c:v>54066</c:v>
                      </c:pt>
                      <c:pt idx="2">
                        <c:v>58053</c:v>
                      </c:pt>
                      <c:pt idx="3">
                        <c:v>61865</c:v>
                      </c:pt>
                      <c:pt idx="4">
                        <c:v>64925</c:v>
                      </c:pt>
                      <c:pt idx="5">
                        <c:v>66289</c:v>
                      </c:pt>
                      <c:pt idx="6">
                        <c:v>67160</c:v>
                      </c:pt>
                      <c:pt idx="7">
                        <c:v>63756</c:v>
                      </c:pt>
                      <c:pt idx="8">
                        <c:v>65409</c:v>
                      </c:pt>
                      <c:pt idx="9">
                        <c:v>68306</c:v>
                      </c:pt>
                      <c:pt idx="10">
                        <c:v>70706</c:v>
                      </c:pt>
                      <c:pt idx="11">
                        <c:v>73346</c:v>
                      </c:pt>
                      <c:pt idx="12">
                        <c:v>79302</c:v>
                      </c:pt>
                      <c:pt idx="13">
                        <c:v>82403</c:v>
                      </c:pt>
                      <c:pt idx="14">
                        <c:v>83422</c:v>
                      </c:pt>
                      <c:pt idx="15">
                        <c:v>83855</c:v>
                      </c:pt>
                      <c:pt idx="16">
                        <c:v>84908</c:v>
                      </c:pt>
                      <c:pt idx="17">
                        <c:v>83187</c:v>
                      </c:pt>
                      <c:pt idx="18">
                        <c:v>82223</c:v>
                      </c:pt>
                      <c:pt idx="19">
                        <c:v>81605</c:v>
                      </c:pt>
                    </c:numCache>
                  </c:numRef>
                </c:val>
                <c:smooth val="0"/>
                <c:extLst xmlns:c15="http://schemas.microsoft.com/office/drawing/2012/chart">
                  <c:ext xmlns:c16="http://schemas.microsoft.com/office/drawing/2014/chart" uri="{C3380CC4-5D6E-409C-BE32-E72D297353CC}">
                    <c16:uniqueId val="{00000004-45F7-43FB-B912-BC3FB45A9C5B}"/>
                  </c:ext>
                </c:extLst>
              </c15:ser>
            </c15:filteredLineSeries>
            <c15:filteredLineSeries>
              <c15:ser>
                <c:idx val="5"/>
                <c:order val="5"/>
                <c:spPr>
                  <a:ln w="2222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St!$A$61:$A$80</c15:sqref>
                        </c15:formulaRef>
                      </c:ext>
                    </c:extLst>
                    <c:strCache>
                      <c:ptCount val="20"/>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strCache>
                  </c:strRef>
                </c:cat>
                <c:val>
                  <c:numRef>
                    <c:extLst xmlns:c15="http://schemas.microsoft.com/office/drawing/2012/chart">
                      <c:ext xmlns:c15="http://schemas.microsoft.com/office/drawing/2012/chart" uri="{02D57815-91ED-43cb-92C2-25804820EDAC}">
                        <c15:formulaRef>
                          <c15:sqref>St!$G$61:$G$80</c15:sqref>
                        </c15:formulaRef>
                      </c:ext>
                    </c:extLst>
                    <c:numCache>
                      <c:formatCode>#,##0</c:formatCode>
                      <c:ptCount val="20"/>
                      <c:pt idx="0">
                        <c:v>11719</c:v>
                      </c:pt>
                      <c:pt idx="1">
                        <c:v>13015</c:v>
                      </c:pt>
                      <c:pt idx="2">
                        <c:v>14658</c:v>
                      </c:pt>
                      <c:pt idx="3">
                        <c:v>16163</c:v>
                      </c:pt>
                      <c:pt idx="4">
                        <c:v>16976</c:v>
                      </c:pt>
                      <c:pt idx="5">
                        <c:v>17393</c:v>
                      </c:pt>
                      <c:pt idx="6">
                        <c:v>17207</c:v>
                      </c:pt>
                      <c:pt idx="7">
                        <c:v>15702</c:v>
                      </c:pt>
                      <c:pt idx="8">
                        <c:v>15373</c:v>
                      </c:pt>
                      <c:pt idx="9">
                        <c:v>16361</c:v>
                      </c:pt>
                      <c:pt idx="10">
                        <c:v>17017</c:v>
                      </c:pt>
                      <c:pt idx="11">
                        <c:v>17452</c:v>
                      </c:pt>
                      <c:pt idx="12">
                        <c:v>18594</c:v>
                      </c:pt>
                      <c:pt idx="13">
                        <c:v>18831</c:v>
                      </c:pt>
                      <c:pt idx="14">
                        <c:v>18771</c:v>
                      </c:pt>
                      <c:pt idx="15">
                        <c:v>18539</c:v>
                      </c:pt>
                      <c:pt idx="16">
                        <c:v>19047</c:v>
                      </c:pt>
                      <c:pt idx="17">
                        <c:v>19074</c:v>
                      </c:pt>
                      <c:pt idx="18">
                        <c:v>18999</c:v>
                      </c:pt>
                      <c:pt idx="19">
                        <c:v>19537</c:v>
                      </c:pt>
                    </c:numCache>
                  </c:numRef>
                </c:val>
                <c:smooth val="0"/>
                <c:extLst xmlns:c15="http://schemas.microsoft.com/office/drawing/2012/chart">
                  <c:ext xmlns:c16="http://schemas.microsoft.com/office/drawing/2014/chart" uri="{C3380CC4-5D6E-409C-BE32-E72D297353CC}">
                    <c16:uniqueId val="{00000005-45F7-43FB-B912-BC3FB45A9C5B}"/>
                  </c:ext>
                </c:extLst>
              </c15:ser>
            </c15:filteredLineSeries>
          </c:ext>
        </c:extLst>
      </c:lineChart>
      <c:catAx>
        <c:axId val="447230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e-DE"/>
          </a:p>
        </c:txPr>
        <c:crossAx val="447233544"/>
        <c:crosses val="autoZero"/>
        <c:auto val="1"/>
        <c:lblAlgn val="ctr"/>
        <c:lblOffset val="100"/>
        <c:noMultiLvlLbl val="0"/>
      </c:catAx>
      <c:valAx>
        <c:axId val="447233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e-DE"/>
                  <a:t>Studierende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723092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5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de-DE" sz="1200" baseline="0"/>
              <a:t>Entwicklung Anzahl </a:t>
            </a:r>
          </a:p>
          <a:p>
            <a:pPr>
              <a:defRPr sz="1200"/>
            </a:pPr>
            <a:r>
              <a:rPr lang="de-DE" sz="1200" baseline="0"/>
              <a:t>Professoren [BW]</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2"/>
          <c:order val="1"/>
          <c:tx>
            <c:v>Universitäten</c:v>
          </c:tx>
          <c:spPr>
            <a:ln w="28575" cap="rnd">
              <a:solidFill>
                <a:schemeClr val="accent1"/>
              </a:solidFill>
              <a:round/>
            </a:ln>
            <a:effectLst/>
          </c:spPr>
          <c:marker>
            <c:symbol val="none"/>
          </c:marker>
          <c:cat>
            <c:numRef>
              <c:f>ZWISCHEN!$A$31:$A$50</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ZWISCHEN!$C$31:$C$50</c:f>
              <c:numCache>
                <c:formatCode>#,##0</c:formatCode>
                <c:ptCount val="20"/>
                <c:pt idx="0">
                  <c:v>2263</c:v>
                </c:pt>
                <c:pt idx="1">
                  <c:v>2267</c:v>
                </c:pt>
                <c:pt idx="2">
                  <c:v>2245</c:v>
                </c:pt>
                <c:pt idx="3">
                  <c:v>2257</c:v>
                </c:pt>
                <c:pt idx="4">
                  <c:v>2290</c:v>
                </c:pt>
                <c:pt idx="5">
                  <c:v>2271</c:v>
                </c:pt>
                <c:pt idx="6">
                  <c:v>2239</c:v>
                </c:pt>
                <c:pt idx="7">
                  <c:v>2278</c:v>
                </c:pt>
                <c:pt idx="8">
                  <c:v>2338</c:v>
                </c:pt>
                <c:pt idx="9">
                  <c:v>2428</c:v>
                </c:pt>
                <c:pt idx="10">
                  <c:v>2480</c:v>
                </c:pt>
                <c:pt idx="11">
                  <c:v>2575</c:v>
                </c:pt>
                <c:pt idx="12">
                  <c:v>2668</c:v>
                </c:pt>
                <c:pt idx="13">
                  <c:v>2725</c:v>
                </c:pt>
                <c:pt idx="14">
                  <c:v>2772</c:v>
                </c:pt>
                <c:pt idx="15">
                  <c:v>2782</c:v>
                </c:pt>
                <c:pt idx="16">
                  <c:v>2819</c:v>
                </c:pt>
                <c:pt idx="17">
                  <c:v>2888</c:v>
                </c:pt>
                <c:pt idx="18">
                  <c:v>2927</c:v>
                </c:pt>
                <c:pt idx="19">
                  <c:v>2866</c:v>
                </c:pt>
              </c:numCache>
            </c:numRef>
          </c:val>
          <c:smooth val="0"/>
          <c:extLst>
            <c:ext xmlns:c16="http://schemas.microsoft.com/office/drawing/2014/chart" uri="{C3380CC4-5D6E-409C-BE32-E72D297353CC}">
              <c16:uniqueId val="{00000000-491A-4455-A6A3-25233E84B564}"/>
            </c:ext>
          </c:extLst>
        </c:ser>
        <c:ser>
          <c:idx val="3"/>
          <c:order val="2"/>
          <c:tx>
            <c:v>Pädagogische Hochschulen</c:v>
          </c:tx>
          <c:spPr>
            <a:ln w="28575" cap="rnd">
              <a:solidFill>
                <a:schemeClr val="accent2"/>
              </a:solidFill>
              <a:round/>
            </a:ln>
            <a:effectLst/>
          </c:spPr>
          <c:marker>
            <c:symbol val="none"/>
          </c:marker>
          <c:cat>
            <c:numRef>
              <c:f>ZWISCHEN!$A$31:$A$50</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ZWISCHEN!$D$31:$D$50</c:f>
              <c:numCache>
                <c:formatCode>General</c:formatCode>
                <c:ptCount val="20"/>
                <c:pt idx="0">
                  <c:v>400</c:v>
                </c:pt>
                <c:pt idx="1">
                  <c:v>378</c:v>
                </c:pt>
                <c:pt idx="2">
                  <c:v>377</c:v>
                </c:pt>
                <c:pt idx="3">
                  <c:v>360</c:v>
                </c:pt>
                <c:pt idx="4">
                  <c:v>344</c:v>
                </c:pt>
                <c:pt idx="5">
                  <c:v>336</c:v>
                </c:pt>
                <c:pt idx="6">
                  <c:v>342</c:v>
                </c:pt>
                <c:pt idx="7">
                  <c:v>359</c:v>
                </c:pt>
                <c:pt idx="8">
                  <c:v>360</c:v>
                </c:pt>
                <c:pt idx="9">
                  <c:v>357</c:v>
                </c:pt>
                <c:pt idx="10">
                  <c:v>349</c:v>
                </c:pt>
                <c:pt idx="11">
                  <c:v>354</c:v>
                </c:pt>
                <c:pt idx="12">
                  <c:v>353</c:v>
                </c:pt>
                <c:pt idx="13">
                  <c:v>359</c:v>
                </c:pt>
                <c:pt idx="14">
                  <c:v>347</c:v>
                </c:pt>
                <c:pt idx="15">
                  <c:v>355</c:v>
                </c:pt>
                <c:pt idx="16">
                  <c:v>360</c:v>
                </c:pt>
                <c:pt idx="17">
                  <c:v>361</c:v>
                </c:pt>
                <c:pt idx="18">
                  <c:v>367</c:v>
                </c:pt>
                <c:pt idx="19">
                  <c:v>374</c:v>
                </c:pt>
              </c:numCache>
            </c:numRef>
          </c:val>
          <c:smooth val="0"/>
          <c:extLst>
            <c:ext xmlns:c16="http://schemas.microsoft.com/office/drawing/2014/chart" uri="{C3380CC4-5D6E-409C-BE32-E72D297353CC}">
              <c16:uniqueId val="{00000001-491A-4455-A6A3-25233E84B564}"/>
            </c:ext>
          </c:extLst>
        </c:ser>
        <c:dLbls>
          <c:showLegendKey val="0"/>
          <c:showVal val="0"/>
          <c:showCatName val="0"/>
          <c:showSerName val="0"/>
          <c:showPercent val="0"/>
          <c:showBubbleSize val="0"/>
        </c:dLbls>
        <c:smooth val="0"/>
        <c:axId val="404948176"/>
        <c:axId val="404948504"/>
        <c:extLst>
          <c:ext xmlns:c15="http://schemas.microsoft.com/office/drawing/2012/chart" uri="{02D57815-91ED-43cb-92C2-25804820EDAC}">
            <c15:filteredLineSeries>
              <c15:ser>
                <c:idx val="1"/>
                <c:order val="0"/>
                <c:tx>
                  <c:v>Insgesamt</c:v>
                </c:tx>
                <c:spPr>
                  <a:ln w="28575" cap="rnd">
                    <a:solidFill>
                      <a:schemeClr val="accent2"/>
                    </a:solidFill>
                    <a:round/>
                  </a:ln>
                  <a:effectLst/>
                </c:spPr>
                <c:marker>
                  <c:symbol val="none"/>
                </c:marker>
                <c:cat>
                  <c:numRef>
                    <c:extLst>
                      <c:ext uri="{02D57815-91ED-43cb-92C2-25804820EDAC}">
                        <c15:formulaRef>
                          <c15:sqref>ZWISCHEN!$A$31:$A$50</c15:sqref>
                        </c15:formulaRef>
                      </c:ext>
                    </c:extLst>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extLst>
                      <c:ext uri="{02D57815-91ED-43cb-92C2-25804820EDAC}">
                        <c15:formulaRef>
                          <c15:sqref>ZWISCHEN!$B$31:$B$50</c15:sqref>
                        </c15:formulaRef>
                      </c:ext>
                    </c:extLst>
                    <c:numCache>
                      <c:formatCode>#,##0</c:formatCode>
                      <c:ptCount val="20"/>
                      <c:pt idx="0">
                        <c:v>5149</c:v>
                      </c:pt>
                      <c:pt idx="1">
                        <c:v>5176</c:v>
                      </c:pt>
                      <c:pt idx="2">
                        <c:v>5166</c:v>
                      </c:pt>
                      <c:pt idx="3">
                        <c:v>5188</c:v>
                      </c:pt>
                      <c:pt idx="4">
                        <c:v>5283</c:v>
                      </c:pt>
                      <c:pt idx="5">
                        <c:v>5241</c:v>
                      </c:pt>
                      <c:pt idx="6">
                        <c:v>5245</c:v>
                      </c:pt>
                      <c:pt idx="7">
                        <c:v>5357</c:v>
                      </c:pt>
                      <c:pt idx="8">
                        <c:v>5537</c:v>
                      </c:pt>
                      <c:pt idx="9">
                        <c:v>6157</c:v>
                      </c:pt>
                      <c:pt idx="10">
                        <c:v>6346</c:v>
                      </c:pt>
                      <c:pt idx="11">
                        <c:v>6585</c:v>
                      </c:pt>
                      <c:pt idx="12">
                        <c:v>6832</c:v>
                      </c:pt>
                      <c:pt idx="13">
                        <c:v>6995</c:v>
                      </c:pt>
                      <c:pt idx="14">
                        <c:v>7156</c:v>
                      </c:pt>
                      <c:pt idx="15">
                        <c:v>7284</c:v>
                      </c:pt>
                      <c:pt idx="16">
                        <c:v>7361</c:v>
                      </c:pt>
                      <c:pt idx="17">
                        <c:v>7508</c:v>
                      </c:pt>
                      <c:pt idx="18">
                        <c:v>7584</c:v>
                      </c:pt>
                      <c:pt idx="19">
                        <c:v>7546</c:v>
                      </c:pt>
                    </c:numCache>
                  </c:numRef>
                </c:val>
                <c:smooth val="0"/>
                <c:extLst>
                  <c:ext xmlns:c16="http://schemas.microsoft.com/office/drawing/2014/chart" uri="{C3380CC4-5D6E-409C-BE32-E72D297353CC}">
                    <c16:uniqueId val="{00000002-491A-4455-A6A3-25233E84B564}"/>
                  </c:ext>
                </c:extLst>
              </c15:ser>
            </c15:filteredLineSeries>
          </c:ext>
        </c:extLst>
      </c:lineChart>
      <c:catAx>
        <c:axId val="40494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4948504"/>
        <c:crosses val="autoZero"/>
        <c:auto val="1"/>
        <c:lblAlgn val="ctr"/>
        <c:lblOffset val="100"/>
        <c:noMultiLvlLbl val="0"/>
      </c:catAx>
      <c:valAx>
        <c:axId val="40494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Professuren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4948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5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de-DE" sz="1200" baseline="0"/>
              <a:t>Entwicklung Studierende pro Professur [BW]</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v>Universitäten</c:v>
          </c:tx>
          <c:spPr>
            <a:ln w="22225" cap="rnd">
              <a:solidFill>
                <a:schemeClr val="accent1"/>
              </a:solidFill>
              <a:round/>
            </a:ln>
            <a:effectLst/>
          </c:spPr>
          <c:marker>
            <c:symbol val="none"/>
          </c:marker>
          <c:cat>
            <c:numRef>
              <c:f>ZWISCHEN!$A$57:$A$76</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ZWISCHEN!$F$57:$F$76</c:f>
              <c:numCache>
                <c:formatCode>General</c:formatCode>
                <c:ptCount val="20"/>
                <c:pt idx="0">
                  <c:v>50.814405656208571</c:v>
                </c:pt>
                <c:pt idx="1">
                  <c:v>53.18129686810763</c:v>
                </c:pt>
                <c:pt idx="2">
                  <c:v>56.472605790645879</c:v>
                </c:pt>
                <c:pt idx="3">
                  <c:v>59.444395214887017</c:v>
                </c:pt>
                <c:pt idx="4">
                  <c:v>60.547598253275112</c:v>
                </c:pt>
                <c:pt idx="5">
                  <c:v>62.045794804051077</c:v>
                </c:pt>
                <c:pt idx="6">
                  <c:v>63.184010719071011</c:v>
                </c:pt>
                <c:pt idx="7">
                  <c:v>58.777436347673401</c:v>
                </c:pt>
                <c:pt idx="8">
                  <c:v>58.337467921300259</c:v>
                </c:pt>
                <c:pt idx="9">
                  <c:v>58.695222405271828</c:v>
                </c:pt>
                <c:pt idx="10">
                  <c:v>59.590725806451616</c:v>
                </c:pt>
                <c:pt idx="11">
                  <c:v>60.789514563106799</c:v>
                </c:pt>
                <c:pt idx="12">
                  <c:v>63.275862068965516</c:v>
                </c:pt>
                <c:pt idx="13">
                  <c:v>64.075596330275232</c:v>
                </c:pt>
                <c:pt idx="14">
                  <c:v>63.816017316017316</c:v>
                </c:pt>
                <c:pt idx="15">
                  <c:v>63.867361610352262</c:v>
                </c:pt>
                <c:pt idx="16">
                  <c:v>63.484214260376021</c:v>
                </c:pt>
                <c:pt idx="17">
                  <c:v>60.592105263157897</c:v>
                </c:pt>
                <c:pt idx="18">
                  <c:v>58.641954219337208</c:v>
                </c:pt>
                <c:pt idx="19">
                  <c:v>58.852407536636427</c:v>
                </c:pt>
              </c:numCache>
            </c:numRef>
          </c:val>
          <c:smooth val="0"/>
          <c:extLst>
            <c:ext xmlns:c16="http://schemas.microsoft.com/office/drawing/2014/chart" uri="{C3380CC4-5D6E-409C-BE32-E72D297353CC}">
              <c16:uniqueId val="{00000000-0BCF-4C3C-927D-6F0C82B0F9F5}"/>
            </c:ext>
          </c:extLst>
        </c:ser>
        <c:ser>
          <c:idx val="1"/>
          <c:order val="1"/>
          <c:tx>
            <c:v>Pädagogische Hochschulen</c:v>
          </c:tx>
          <c:spPr>
            <a:ln w="22225" cap="rnd">
              <a:solidFill>
                <a:schemeClr val="accent2"/>
              </a:solidFill>
              <a:round/>
            </a:ln>
            <a:effectLst/>
          </c:spPr>
          <c:marker>
            <c:symbol val="none"/>
          </c:marker>
          <c:cat>
            <c:numRef>
              <c:f>ZWISCHEN!$A$57:$A$76</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ZWISCHEN!$G$57:$G$76</c:f>
              <c:numCache>
                <c:formatCode>General</c:formatCode>
                <c:ptCount val="20"/>
                <c:pt idx="0">
                  <c:v>37.572499999999998</c:v>
                </c:pt>
                <c:pt idx="1">
                  <c:v>43.470899470899468</c:v>
                </c:pt>
                <c:pt idx="2">
                  <c:v>48.716180371352785</c:v>
                </c:pt>
                <c:pt idx="3">
                  <c:v>56.15</c:v>
                </c:pt>
                <c:pt idx="4">
                  <c:v>61.755813953488371</c:v>
                </c:pt>
                <c:pt idx="5">
                  <c:v>64.839285714285708</c:v>
                </c:pt>
                <c:pt idx="6">
                  <c:v>63.391812865497073</c:v>
                </c:pt>
                <c:pt idx="7">
                  <c:v>55.534818941504177</c:v>
                </c:pt>
                <c:pt idx="8">
                  <c:v>54.694444444444443</c:v>
                </c:pt>
                <c:pt idx="9">
                  <c:v>58.593837535014003</c:v>
                </c:pt>
                <c:pt idx="10">
                  <c:v>62.627507163323784</c:v>
                </c:pt>
                <c:pt idx="11">
                  <c:v>63.559322033898304</c:v>
                </c:pt>
                <c:pt idx="12">
                  <c:v>67.929178470254953</c:v>
                </c:pt>
                <c:pt idx="13">
                  <c:v>67.245125348189418</c:v>
                </c:pt>
                <c:pt idx="14">
                  <c:v>69.069164265129686</c:v>
                </c:pt>
                <c:pt idx="15">
                  <c:v>66.608450704225348</c:v>
                </c:pt>
                <c:pt idx="16">
                  <c:v>67.552777777777777</c:v>
                </c:pt>
                <c:pt idx="17">
                  <c:v>67.396121883656505</c:v>
                </c:pt>
                <c:pt idx="18">
                  <c:v>65.926430517711168</c:v>
                </c:pt>
                <c:pt idx="19">
                  <c:v>66.639037433155082</c:v>
                </c:pt>
              </c:numCache>
            </c:numRef>
          </c:val>
          <c:smooth val="0"/>
          <c:extLst>
            <c:ext xmlns:c16="http://schemas.microsoft.com/office/drawing/2014/chart" uri="{C3380CC4-5D6E-409C-BE32-E72D297353CC}">
              <c16:uniqueId val="{00000001-0BCF-4C3C-927D-6F0C82B0F9F5}"/>
            </c:ext>
          </c:extLst>
        </c:ser>
        <c:dLbls>
          <c:showLegendKey val="0"/>
          <c:showVal val="0"/>
          <c:showCatName val="0"/>
          <c:showSerName val="0"/>
          <c:showPercent val="0"/>
          <c:showBubbleSize val="0"/>
        </c:dLbls>
        <c:smooth val="0"/>
        <c:axId val="406593536"/>
        <c:axId val="406594192"/>
      </c:lineChart>
      <c:catAx>
        <c:axId val="40659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594192"/>
        <c:crosses val="autoZero"/>
        <c:auto val="1"/>
        <c:lblAlgn val="ctr"/>
        <c:lblOffset val="100"/>
        <c:noMultiLvlLbl val="0"/>
      </c:catAx>
      <c:valAx>
        <c:axId val="40659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Studierende pro Professur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593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5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5050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dc:creator>
  <cp:keywords/>
  <dc:description/>
  <cp:lastModifiedBy>Achim</cp:lastModifiedBy>
  <cp:revision>591</cp:revision>
  <dcterms:created xsi:type="dcterms:W3CDTF">2021-02-09T16:50:00Z</dcterms:created>
  <dcterms:modified xsi:type="dcterms:W3CDTF">2021-02-09T19:29:00Z</dcterms:modified>
</cp:coreProperties>
</file>