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565C0"/>
          <w:sz w:val="72"/>
        </w:rPr>
        <w:t>LEADFARM</w:t>
      </w:r>
    </w:p>
    <w:p>
      <w:pPr>
        <w:jc w:val="center"/>
      </w:pPr>
      <w:r>
        <w:rPr>
          <w:color w:val="212121"/>
          <w:sz w:val="40"/>
        </w:rPr>
        <w:t>Website &amp; Codebase Critique</w:t>
      </w:r>
    </w:p>
    <w:p>
      <w:pPr>
        <w:jc w:val="center"/>
      </w:pPr>
      <w:r>
        <w:rPr>
          <w:color w:val="757575"/>
          <w:sz w:val="24"/>
        </w:rPr>
        <w:t>Agricultural Management Platform</w:t>
      </w:r>
    </w:p>
    <w:p/>
    <w:p/>
    <w:p>
      <w:pPr>
        <w:jc w:val="center"/>
      </w:pPr>
      <w:r>
        <w:rPr>
          <w:color w:val="757575"/>
          <w:sz w:val="22"/>
        </w:rPr>
        <w:t>Prepared: March 28, 2026</w:t>
      </w:r>
    </w:p>
    <w:p>
      <w:pPr>
        <w:jc w:val="center"/>
      </w:pPr>
      <w:r>
        <w:rPr>
          <w:color w:val="757575"/>
          <w:sz w:val="22"/>
        </w:rPr>
        <w:t>Next.js 16  •  React 19  •  Supabase  •  Tailwind CSS 4</w:t>
      </w:r>
    </w:p>
    <w:p/>
    <w:p/>
    <w:p/>
    <w:p>
      <w:pPr>
        <w:jc w:val="center"/>
      </w:pPr>
      <w:r>
        <w:rPr>
          <w:b/>
          <w:color w:val="1565C0"/>
          <w:sz w:val="44"/>
        </w:rPr>
        <w:t>OVERALL SCORE:  5.1 / 10</w:t>
      </w:r>
    </w:p>
    <w:p>
      <w:pPr>
        <w:jc w:val="center"/>
      </w:pPr>
      <w:r>
        <w:rPr>
          <w:i/>
          <w:color w:val="757575"/>
          <w:sz w:val="24"/>
        </w:rPr>
        <w:t>Promising foundation, needs maturity</w:t>
      </w:r>
    </w:p>
    <w:p>
      <w:r>
        <w:br w:type="page"/>
      </w:r>
    </w:p>
    <w:p>
      <w:pPr>
        <w:pStyle w:val="Heading1"/>
      </w:pPr>
      <w:r>
        <w:t>Executive Summary</w:t>
      </w:r>
    </w:p>
    <w:p>
      <w:r>
        <w:t>LeadFarm is a Next.js 16 precision agriculture platform for phytosanitary traceability and IoT monitoring in Algeria. The application demonstrates solid UI/UX fundamentals with an excellent dark-mode glass-morphism design, but contains critical architectural issues, security vulnerabilities, and code quality problems that must be resolved before production deployment.</w:t>
      </w:r>
    </w:p>
    <w:p>
      <w:pPr>
        <w:pStyle w:val="Heading1"/>
      </w:pPr>
      <w:r>
        <w:t>Scorecard</w:t>
      </w:r>
    </w:p>
    <w:tbl>
      <w:tblPr>
        <w:tblStyle w:val="TableGrid"/>
        <w:tblW w:type="auto" w:w="0"/>
        <w:tblLook w:firstColumn="1" w:firstRow="1" w:lastColumn="0" w:lastRow="0" w:noHBand="0" w:noVBand="1" w:val="04A0"/>
      </w:tblPr>
      <w:tblGrid>
        <w:gridCol w:w="2880"/>
        <w:gridCol w:w="2880"/>
        <w:gridCol w:w="2880"/>
      </w:tblGrid>
      <w:tr>
        <w:tc>
          <w:tcPr>
            <w:tcW w:type="dxa" w:w="2880"/>
            <w:shd w:fill="1565C0"/>
          </w:tcPr>
          <w:p>
            <w:r>
              <w:rPr>
                <w:rFonts w:ascii="Arial" w:hAnsi="Arial"/>
                <w:b/>
                <w:color w:val="FFFFFF"/>
                <w:sz w:val="20"/>
              </w:rPr>
              <w:t>Category</w:t>
            </w:r>
          </w:p>
        </w:tc>
        <w:tc>
          <w:tcPr>
            <w:tcW w:type="dxa" w:w="2880"/>
            <w:shd w:fill="1565C0"/>
          </w:tcPr>
          <w:p>
            <w:r>
              <w:rPr>
                <w:rFonts w:ascii="Arial" w:hAnsi="Arial"/>
                <w:b/>
                <w:color w:val="FFFFFF"/>
                <w:sz w:val="20"/>
              </w:rPr>
              <w:t>Score</w:t>
            </w:r>
          </w:p>
        </w:tc>
        <w:tc>
          <w:tcPr>
            <w:tcW w:type="dxa" w:w="2880"/>
            <w:shd w:fill="1565C0"/>
          </w:tcPr>
          <w:p>
            <w:r>
              <w:rPr>
                <w:rFonts w:ascii="Arial" w:hAnsi="Arial"/>
                <w:b/>
                <w:color w:val="FFFFFF"/>
                <w:sz w:val="20"/>
              </w:rPr>
              <w:t>Notes</w:t>
            </w:r>
          </w:p>
        </w:tc>
      </w:tr>
      <w:tr>
        <w:tc>
          <w:tcPr>
            <w:tcW w:type="dxa" w:w="2880"/>
          </w:tcPr>
          <w:p>
            <w:r>
              <w:rPr>
                <w:rFonts w:ascii="Arial" w:hAnsi="Arial"/>
                <w:b/>
                <w:sz w:val="20"/>
              </w:rPr>
              <w:t>Design / UX</w:t>
            </w:r>
          </w:p>
        </w:tc>
        <w:tc>
          <w:tcPr>
            <w:tcW w:type="dxa" w:w="2880"/>
            <w:shd w:fill="2E7D32"/>
          </w:tcPr>
          <w:p>
            <w:pPr>
              <w:jc w:val="center"/>
            </w:pPr>
            <w:r>
              <w:rPr>
                <w:rFonts w:ascii="Arial" w:hAnsi="Arial"/>
                <w:b/>
                <w:color w:val="FFFFFF"/>
                <w:sz w:val="20"/>
              </w:rPr>
              <w:t>9/10</w:t>
            </w:r>
          </w:p>
        </w:tc>
        <w:tc>
          <w:tcPr>
            <w:tcW w:type="dxa" w:w="2880"/>
          </w:tcPr>
          <w:p>
            <w:r>
              <w:rPr>
                <w:rFonts w:ascii="Arial" w:hAnsi="Arial"/>
                <w:b w:val="0"/>
                <w:color w:val="616161"/>
                <w:sz w:val="20"/>
              </w:rPr>
              <w:t>Beautiful, consistent glass-morphism; responsive layout</w:t>
            </w:r>
          </w:p>
        </w:tc>
      </w:tr>
      <w:tr>
        <w:tc>
          <w:tcPr>
            <w:tcW w:type="dxa" w:w="2880"/>
          </w:tcPr>
          <w:p>
            <w:r>
              <w:rPr>
                <w:rFonts w:ascii="Arial" w:hAnsi="Arial"/>
                <w:b/>
                <w:sz w:val="20"/>
              </w:rPr>
              <w:t>Architecture</w:t>
            </w:r>
          </w:p>
        </w:tc>
        <w:tc>
          <w:tcPr>
            <w:tcW w:type="dxa" w:w="2880"/>
            <w:shd w:fill="F57F17"/>
          </w:tcPr>
          <w:p>
            <w:pPr>
              <w:jc w:val="center"/>
            </w:pPr>
            <w:r>
              <w:rPr>
                <w:rFonts w:ascii="Arial" w:hAnsi="Arial"/>
                <w:b/>
                <w:color w:val="FFFFFF"/>
                <w:sz w:val="20"/>
              </w:rPr>
              <w:t>5/10</w:t>
            </w:r>
          </w:p>
        </w:tc>
        <w:tc>
          <w:tcPr>
            <w:tcW w:type="dxa" w:w="2880"/>
          </w:tcPr>
          <w:p>
            <w:r>
              <w:rPr>
                <w:rFonts w:ascii="Arial" w:hAnsi="Arial"/>
                <w:b w:val="0"/>
                <w:color w:val="616161"/>
                <w:sz w:val="20"/>
              </w:rPr>
              <w:t>Competing data layers; unclear data flow</w:t>
            </w:r>
          </w:p>
        </w:tc>
      </w:tr>
      <w:tr>
        <w:tc>
          <w:tcPr>
            <w:tcW w:type="dxa" w:w="2880"/>
          </w:tcPr>
          <w:p>
            <w:r>
              <w:rPr>
                <w:rFonts w:ascii="Arial" w:hAnsi="Arial"/>
                <w:b/>
                <w:sz w:val="20"/>
              </w:rPr>
              <w:t>Security</w:t>
            </w:r>
          </w:p>
        </w:tc>
        <w:tc>
          <w:tcPr>
            <w:tcW w:type="dxa" w:w="2880"/>
            <w:shd w:fill="C62828"/>
          </w:tcPr>
          <w:p>
            <w:pPr>
              <w:jc w:val="center"/>
            </w:pPr>
            <w:r>
              <w:rPr>
                <w:rFonts w:ascii="Arial" w:hAnsi="Arial"/>
                <w:b/>
                <w:color w:val="FFFFFF"/>
                <w:sz w:val="20"/>
              </w:rPr>
              <w:t>3/10</w:t>
            </w:r>
          </w:p>
        </w:tc>
        <w:tc>
          <w:tcPr>
            <w:tcW w:type="dxa" w:w="2880"/>
          </w:tcPr>
          <w:p>
            <w:r>
              <w:rPr>
                <w:rFonts w:ascii="Arial" w:hAnsi="Arial"/>
                <w:b w:val="0"/>
                <w:color w:val="616161"/>
                <w:sz w:val="20"/>
              </w:rPr>
              <w:t>No auth, no validation, XSS risks in maps</w:t>
            </w:r>
          </w:p>
        </w:tc>
      </w:tr>
      <w:tr>
        <w:tc>
          <w:tcPr>
            <w:tcW w:type="dxa" w:w="2880"/>
          </w:tcPr>
          <w:p>
            <w:r>
              <w:rPr>
                <w:rFonts w:ascii="Arial" w:hAnsi="Arial"/>
                <w:b/>
                <w:sz w:val="20"/>
              </w:rPr>
              <w:t>Code Quality</w:t>
            </w:r>
          </w:p>
        </w:tc>
        <w:tc>
          <w:tcPr>
            <w:tcW w:type="dxa" w:w="2880"/>
            <w:shd w:fill="F57F17"/>
          </w:tcPr>
          <w:p>
            <w:pPr>
              <w:jc w:val="center"/>
            </w:pPr>
            <w:r>
              <w:rPr>
                <w:rFonts w:ascii="Arial" w:hAnsi="Arial"/>
                <w:b/>
                <w:color w:val="FFFFFF"/>
                <w:sz w:val="20"/>
              </w:rPr>
              <w:t>6/10</w:t>
            </w:r>
          </w:p>
        </w:tc>
        <w:tc>
          <w:tcPr>
            <w:tcW w:type="dxa" w:w="2880"/>
          </w:tcPr>
          <w:p>
            <w:r>
              <w:rPr>
                <w:rFonts w:ascii="Arial" w:hAnsi="Arial"/>
                <w:b w:val="0"/>
                <w:color w:val="616161"/>
                <w:sz w:val="20"/>
              </w:rPr>
              <w:t>Heavy duplication; 2500-line components</w:t>
            </w:r>
          </w:p>
        </w:tc>
      </w:tr>
      <w:tr>
        <w:tc>
          <w:tcPr>
            <w:tcW w:type="dxa" w:w="2880"/>
          </w:tcPr>
          <w:p>
            <w:r>
              <w:rPr>
                <w:rFonts w:ascii="Arial" w:hAnsi="Arial"/>
                <w:b/>
                <w:sz w:val="20"/>
              </w:rPr>
              <w:t>Documentation</w:t>
            </w:r>
          </w:p>
        </w:tc>
        <w:tc>
          <w:tcPr>
            <w:tcW w:type="dxa" w:w="2880"/>
            <w:shd w:fill="C62828"/>
          </w:tcPr>
          <w:p>
            <w:pPr>
              <w:jc w:val="center"/>
            </w:pPr>
            <w:r>
              <w:rPr>
                <w:rFonts w:ascii="Arial" w:hAnsi="Arial"/>
                <w:b/>
                <w:color w:val="FFFFFF"/>
                <w:sz w:val="20"/>
              </w:rPr>
              <w:t>4/10</w:t>
            </w:r>
          </w:p>
        </w:tc>
        <w:tc>
          <w:tcPr>
            <w:tcW w:type="dxa" w:w="2880"/>
          </w:tcPr>
          <w:p>
            <w:r>
              <w:rPr>
                <w:rFonts w:ascii="Arial" w:hAnsi="Arial"/>
                <w:b w:val="0"/>
                <w:color w:val="616161"/>
                <w:sz w:val="20"/>
              </w:rPr>
              <w:t>Minimal comments; no README or .env.example</w:t>
            </w:r>
          </w:p>
        </w:tc>
      </w:tr>
      <w:tr>
        <w:tc>
          <w:tcPr>
            <w:tcW w:type="dxa" w:w="2880"/>
          </w:tcPr>
          <w:p>
            <w:r>
              <w:rPr>
                <w:rFonts w:ascii="Arial" w:hAnsi="Arial"/>
                <w:b/>
                <w:sz w:val="20"/>
              </w:rPr>
              <w:t>Testing</w:t>
            </w:r>
          </w:p>
        </w:tc>
        <w:tc>
          <w:tcPr>
            <w:tcW w:type="dxa" w:w="2880"/>
            <w:shd w:fill="C62828"/>
          </w:tcPr>
          <w:p>
            <w:pPr>
              <w:jc w:val="center"/>
            </w:pPr>
            <w:r>
              <w:rPr>
                <w:rFonts w:ascii="Arial" w:hAnsi="Arial"/>
                <w:b/>
                <w:color w:val="FFFFFF"/>
                <w:sz w:val="20"/>
              </w:rPr>
              <w:t>2/10</w:t>
            </w:r>
          </w:p>
        </w:tc>
        <w:tc>
          <w:tcPr>
            <w:tcW w:type="dxa" w:w="2880"/>
          </w:tcPr>
          <w:p>
            <w:r>
              <w:rPr>
                <w:rFonts w:ascii="Arial" w:hAnsi="Arial"/>
                <w:b w:val="0"/>
                <w:color w:val="616161"/>
                <w:sz w:val="20"/>
              </w:rPr>
              <w:t>Zero test files in the entire project</w:t>
            </w:r>
          </w:p>
        </w:tc>
      </w:tr>
      <w:tr>
        <w:tc>
          <w:tcPr>
            <w:tcW w:type="dxa" w:w="2880"/>
          </w:tcPr>
          <w:p>
            <w:r>
              <w:rPr>
                <w:rFonts w:ascii="Arial" w:hAnsi="Arial"/>
                <w:b/>
                <w:sz w:val="20"/>
              </w:rPr>
              <w:t>DevOps / Config</w:t>
            </w:r>
          </w:p>
        </w:tc>
        <w:tc>
          <w:tcPr>
            <w:tcW w:type="dxa" w:w="2880"/>
            <w:shd w:fill="C62828"/>
          </w:tcPr>
          <w:p>
            <w:pPr>
              <w:jc w:val="center"/>
            </w:pPr>
            <w:r>
              <w:rPr>
                <w:rFonts w:ascii="Arial" w:hAnsi="Arial"/>
                <w:b/>
                <w:color w:val="FFFFFF"/>
                <w:sz w:val="20"/>
              </w:rPr>
              <w:t>3/10</w:t>
            </w:r>
          </w:p>
        </w:tc>
        <w:tc>
          <w:tcPr>
            <w:tcW w:type="dxa" w:w="2880"/>
          </w:tcPr>
          <w:p>
            <w:r>
              <w:rPr>
                <w:rFonts w:ascii="Arial" w:hAnsi="Arial"/>
                <w:b w:val="0"/>
                <w:color w:val="616161"/>
                <w:sz w:val="20"/>
              </w:rPr>
              <w:t>Empty next.config; no CI/CD</w:t>
            </w:r>
          </w:p>
        </w:tc>
      </w:tr>
      <w:tr>
        <w:tc>
          <w:tcPr>
            <w:tcW w:type="dxa" w:w="2880"/>
          </w:tcPr>
          <w:p>
            <w:r>
              <w:rPr>
                <w:rFonts w:ascii="Arial" w:hAnsi="Arial"/>
                <w:b/>
                <w:sz w:val="20"/>
              </w:rPr>
              <w:t>Accessibility</w:t>
            </w:r>
          </w:p>
        </w:tc>
        <w:tc>
          <w:tcPr>
            <w:tcW w:type="dxa" w:w="2880"/>
            <w:shd w:fill="F57F17"/>
          </w:tcPr>
          <w:p>
            <w:pPr>
              <w:jc w:val="center"/>
            </w:pPr>
            <w:r>
              <w:rPr>
                <w:rFonts w:ascii="Arial" w:hAnsi="Arial"/>
                <w:b/>
                <w:color w:val="FFFFFF"/>
                <w:sz w:val="20"/>
              </w:rPr>
              <w:t>5/10</w:t>
            </w:r>
          </w:p>
        </w:tc>
        <w:tc>
          <w:tcPr>
            <w:tcW w:type="dxa" w:w="2880"/>
          </w:tcPr>
          <w:p>
            <w:r>
              <w:rPr>
                <w:rFonts w:ascii="Arial" w:hAnsi="Arial"/>
                <w:b w:val="0"/>
                <w:color w:val="616161"/>
                <w:sz w:val="20"/>
              </w:rPr>
              <w:t>Mobile OK; keyboard navigation missing</w:t>
            </w:r>
          </w:p>
        </w:tc>
      </w:tr>
    </w:tbl>
    <w:p/>
    <w:p>
      <w:pPr>
        <w:pStyle w:val="Heading1"/>
      </w:pPr>
      <w:r>
        <w:t>Strengths</w:t>
      </w:r>
    </w:p>
    <w:p>
      <w:pPr>
        <w:pStyle w:val="Heading2"/>
      </w:pPr>
      <w:r>
        <w:t>Excellent Visual Design</w:t>
      </w:r>
    </w:p>
    <w:p>
      <w:r>
        <w:t>The UI is genuinely impressive. The glass-morphism aesthetic is applied consistently across every page, with proper dark-mode implementation, gradient overlays, and smooth Framer Motion animations. The color-coded badges, Lucide icons, and responsive sidebar all contribute to a polished, professional feel that rivals commercial SaaS products.</w:t>
      </w:r>
    </w:p>
    <w:p>
      <w:pPr>
        <w:pStyle w:val="Heading2"/>
      </w:pPr>
      <w:r>
        <w:t>Solid Information Architecture</w:t>
      </w:r>
    </w:p>
    <w:p>
      <w:r>
        <w:t>The sidebar navigation is well-organized with alert badges. The dashboard surfaces key metrics at the top, detail panels appear as right-side split views on the treatments page, and modals are used appropriately for focused interactions.</w:t>
      </w:r>
    </w:p>
    <w:p>
      <w:pPr>
        <w:pStyle w:val="Heading2"/>
      </w:pPr>
      <w:r>
        <w:t>Good Technical Foundations</w:t>
      </w:r>
    </w:p>
    <w:p>
      <w:pPr>
        <w:pStyle w:val="ListBullet"/>
      </w:pPr>
      <w:r>
        <w:t>Clear separation of concerns: layout, pages, hooks, and library code are properly organized</w:t>
      </w:r>
    </w:p>
    <w:p>
      <w:pPr>
        <w:pStyle w:val="ListBullet"/>
      </w:pPr>
      <w:r>
        <w:t>Dynamic imports with SSR disabled for Leaflet maps (correct approach)</w:t>
      </w:r>
    </w:p>
    <w:p>
      <w:pPr>
        <w:pStyle w:val="ListBullet"/>
      </w:pPr>
      <w:r>
        <w:t>Comprehensive TypeScript type definitions across the codebase</w:t>
      </w:r>
    </w:p>
    <w:p>
      <w:pPr>
        <w:pStyle w:val="ListBullet"/>
      </w:pPr>
      <w:r>
        <w:t>Mobile-first responsive layout with collapsible sidebar</w:t>
      </w:r>
    </w:p>
    <w:p>
      <w:r>
        <w:br w:type="page"/>
      </w:r>
    </w:p>
    <w:p>
      <w:pPr>
        <w:pStyle w:val="Heading1"/>
      </w:pPr>
      <w:r>
        <w:t>Critical Issues</w:t>
      </w:r>
    </w:p>
    <w:p>
      <w:pPr>
        <w:pStyle w:val="Heading2"/>
      </w:pPr>
      <w:r>
        <w:t>1. No Real Authentication</w:t>
      </w:r>
    </w:p>
    <w:tbl>
      <w:tblPr>
        <w:tblW w:type="auto" w:w="0"/>
        <w:jc w:val="center"/>
        <w:tblLook w:firstColumn="1" w:firstRow="1" w:lastColumn="0" w:lastRow="0" w:noHBand="0" w:noVBand="1" w:val="04A0"/>
      </w:tblPr>
      <w:tblGrid>
        <w:gridCol w:w="8640"/>
      </w:tblGrid>
      <w:tr>
        <w:tc>
          <w:tcPr>
            <w:tcW w:type="dxa" w:w="8640"/>
            <w:shd w:fill="FFEBEE"/>
            <w:tcBorders>
              <w:top w:val="single" w:sz="8" w:color="C62828"/>
              <w:left w:val="single" w:sz="8" w:color="C62828"/>
              <w:bottom w:val="single" w:sz="8" w:color="C62828"/>
              <w:right w:val="single" w:sz="8" w:color="C62828"/>
            </w:tcBorders>
          </w:tcPr>
          <w:p>
            <w:r>
              <w:rPr>
                <w:rFonts w:ascii="Arial" w:hAnsi="Arial"/>
                <w:b/>
                <w:color w:val="C62828"/>
                <w:sz w:val="20"/>
              </w:rPr>
              <w:t>SEVERITY: CRITICAL</w:t>
            </w:r>
          </w:p>
          <w:p>
            <w:r>
              <w:rPr>
                <w:rFonts w:ascii="Arial" w:hAnsi="Arial"/>
                <w:sz w:val="22"/>
              </w:rPr>
              <w:t>The login page is entirely fake. handleSubmit() waits 1.2 seconds and redirects to /dashboard with no actual authentication. Anyone can access any route directly.</w:t>
            </w:r>
          </w:p>
        </w:tc>
      </w:tr>
    </w:tbl>
    <w:p/>
    <w:p>
      <w:r>
        <w:rPr>
          <w:rFonts w:ascii="Arial" w:hAnsi="Arial"/>
          <w:b/>
        </w:rPr>
        <w:t xml:space="preserve">Impact: </w:t>
      </w:r>
      <w:r>
        <w:rPr>
          <w:rFonts w:ascii="Arial" w:hAnsi="Arial"/>
        </w:rPr>
        <w:t>All application data is accessible to anyone who knows the URL. In a production environment with real agricultural data, this is a serious liability.</w:t>
      </w:r>
    </w:p>
    <w:p>
      <w:r>
        <w:rPr>
          <w:rFonts w:ascii="Arial" w:hAnsi="Arial"/>
          <w:b/>
        </w:rPr>
        <w:t xml:space="preserve">Fix: </w:t>
      </w:r>
      <w:r>
        <w:rPr>
          <w:rFonts w:ascii="Arial" w:hAnsi="Arial"/>
        </w:rPr>
        <w:t>Implement Supabase Auth with a Next.js middleware that checks for valid sessions on all protected routes (/dashboard, /stock, /treatments, etc.). Add proper sign-in/sign-up flows with email verification.</w:t>
      </w:r>
    </w:p>
    <w:p>
      <w:pPr>
        <w:pStyle w:val="Heading2"/>
      </w:pPr>
      <w:r>
        <w:t>2. Competing Data Layers</w:t>
      </w:r>
    </w:p>
    <w:p>
      <w:r>
        <w:t>The project has two independent data-fetching systems running simultaneously:</w:t>
      </w:r>
    </w:p>
    <w:p>
      <w:pPr>
        <w:pStyle w:val="ListBullet"/>
      </w:pPr>
      <w:r>
        <w:t>useData.ts — hooks that call queries.ts functions (the newer approach)</w:t>
      </w:r>
    </w:p>
    <w:p>
      <w:pPr>
        <w:pStyle w:val="ListBullet"/>
      </w:pPr>
      <w:r>
        <w:t>DataProvider.tsx — a context provider that fetches directly from Supabase (older)</w:t>
      </w:r>
    </w:p>
    <w:p>
      <w:r>
        <w:t>Pages use both systems inconsistently, causing duplicate network requests, stale state, and unpredictable behavior. This is the root cause of many reliability issues.</w:t>
      </w:r>
    </w:p>
    <w:p>
      <w:r>
        <w:rPr>
          <w:b/>
        </w:rPr>
        <w:t xml:space="preserve">Fix: </w:t>
      </w:r>
      <w:r>
        <w:t>Choose one approach. Recommended: keep useData.ts hooks backed by queries.ts, remove DataProvider.tsx, and use React Query or SWR for caching and deduplication.</w:t>
      </w:r>
    </w:p>
    <w:p>
      <w:pPr>
        <w:pStyle w:val="Heading2"/>
      </w:pPr>
      <w:r>
        <w:t>3. XSS Vulnerability in Map Popups</w:t>
      </w:r>
    </w:p>
    <w:tbl>
      <w:tblPr>
        <w:tblW w:type="auto" w:w="0"/>
        <w:jc w:val="center"/>
        <w:tblLook w:firstColumn="1" w:firstRow="1" w:lastColumn="0" w:lastRow="0" w:noHBand="0" w:noVBand="1" w:val="04A0"/>
      </w:tblPr>
      <w:tblGrid>
        <w:gridCol w:w="8640"/>
      </w:tblGrid>
      <w:tr>
        <w:tc>
          <w:tcPr>
            <w:tcW w:type="dxa" w:w="8640"/>
            <w:shd w:fill="FFEBEE"/>
            <w:tcBorders>
              <w:top w:val="single" w:sz="8" w:color="C62828"/>
              <w:left w:val="single" w:sz="8" w:color="C62828"/>
              <w:bottom w:val="single" w:sz="8" w:color="C62828"/>
              <w:right w:val="single" w:sz="8" w:color="C62828"/>
            </w:tcBorders>
          </w:tcPr>
          <w:p>
            <w:r>
              <w:rPr>
                <w:rFonts w:ascii="Arial" w:hAnsi="Arial"/>
                <w:b/>
                <w:color w:val="C62828"/>
                <w:sz w:val="20"/>
              </w:rPr>
              <w:t>SEVERITY: CRITICAL</w:t>
            </w:r>
          </w:p>
          <w:p>
            <w:r>
              <w:rPr>
                <w:rFonts w:ascii="Arial" w:hAnsi="Arial"/>
                <w:sz w:val="22"/>
              </w:rPr>
              <w:t>In DashboardMap.tsx, parcelle names are injected directly into HTML strings via string concatenation without any escaping. If a parcelle name contained malicious HTML/JavaScript, it would execute in the browser.</w:t>
            </w:r>
          </w:p>
        </w:tc>
      </w:tr>
    </w:tbl>
    <w:p/>
    <w:p>
      <w:r>
        <w:rPr>
          <w:b/>
        </w:rPr>
        <w:t xml:space="preserve">Fix: </w:t>
      </w:r>
      <w:r>
        <w:t>Escape all user-generated content before inserting into HTML strings, or use Leaflet’s built-in DOM element API instead of raw HTML strings.</w:t>
      </w:r>
    </w:p>
    <w:p>
      <w:pPr>
        <w:pStyle w:val="Heading2"/>
      </w:pPr>
      <w:r>
        <w:t>4. Zero Input Validation</w:t>
      </w:r>
    </w:p>
    <w:p>
      <w:r>
        <w:t>The EditableCell component and inline editing hooks accept any value and send it directly to Supabase. There are no checks for negative quantities, invalid dates, text length limits, or data type mismatches. Empty catch blocks silently swallow errors in several places.</w:t>
      </w:r>
    </w:p>
    <w:p>
      <w:r>
        <w:rPr>
          <w:b/>
        </w:rPr>
        <w:t xml:space="preserve">Fix: </w:t>
      </w:r>
      <w:r>
        <w:t>Add Zod schemas for all data mutations. Validate on both client and server (API routes). Show user-friendly error messages on validation failure.</w:t>
      </w:r>
    </w:p>
    <w:p>
      <w:r>
        <w:br w:type="page"/>
      </w:r>
    </w:p>
    <w:p>
      <w:pPr>
        <w:pStyle w:val="Heading1"/>
      </w:pPr>
      <w:r>
        <w:t>Code Quality Issues</w:t>
      </w:r>
    </w:p>
    <w:p>
      <w:pPr>
        <w:pStyle w:val="Heading2"/>
      </w:pPr>
      <w:r>
        <w:t>Oversized Components</w:t>
      </w:r>
    </w:p>
    <w:p>
      <w:r>
        <w:t>The stock/page.tsx file is approximately 2,500 lines long, making it very difficult to maintain, test, or review. It contains chart logic, table rendering, modal definitions, inline editing, CSV export, and filtering all in one file. Several modals are defined but never rendered, and a chartsReady flag is never set to true.</w:t>
      </w:r>
    </w:p>
    <w:p>
      <w:r>
        <w:rPr>
          <w:b/>
        </w:rPr>
        <w:t xml:space="preserve">Recommendation: </w:t>
      </w:r>
      <w:r>
        <w:t>Split into StockTable, StockCharts, StockFilters, StockModals, and StockExport components. Each should be under 300 lines.</w:t>
      </w:r>
    </w:p>
    <w:p>
      <w:pPr>
        <w:pStyle w:val="Heading2"/>
      </w:pPr>
      <w:r>
        <w:t>Duplicated Logic</w:t>
      </w:r>
    </w:p>
    <w:p>
      <w:r>
        <w:t>Several patterns are repeated across the codebase instead of being extracted into shared utilities:</w:t>
      </w:r>
    </w:p>
    <w:p>
      <w:pPr>
        <w:pStyle w:val="ListBullet"/>
      </w:pPr>
      <w:r>
        <w:t>Badge/status color mappings defined in at least 4 files (StatsCard, AlertsFeed, ActiveTreatments, globals.css)</w:t>
      </w:r>
    </w:p>
    <w:p>
      <w:pPr>
        <w:pStyle w:val="ListBullet"/>
      </w:pPr>
      <w:r>
        <w:t>TypeScript types duplicated across mock-data.ts, database.types.ts, and api-types.ts</w:t>
      </w:r>
    </w:p>
    <w:p>
      <w:pPr>
        <w:pStyle w:val="ListBullet"/>
      </w:pPr>
      <w:r>
        <w:t>Inline editing logic reimplemented independently on Stock and Products pages</w:t>
      </w:r>
    </w:p>
    <w:p>
      <w:pPr>
        <w:pStyle w:val="ListBullet"/>
      </w:pPr>
      <w:r>
        <w:t>Formatting functions (hectares, numbers, quantities) scattered or defined inline</w:t>
      </w:r>
    </w:p>
    <w:p>
      <w:pPr>
        <w:pStyle w:val="Heading2"/>
      </w:pPr>
      <w:r>
        <w:t>Performance Concerns</w:t>
      </w:r>
    </w:p>
    <w:p>
      <w:pPr>
        <w:pStyle w:val="ListBullet"/>
      </w:pPr>
      <w:r>
        <w:t>N+1 query pattern: each useData hook fires a separate fetch; dashboard triggers 3+ independent requests that could be batched</w:t>
      </w:r>
    </w:p>
    <w:p>
      <w:pPr>
        <w:pStyle w:val="ListBullet"/>
      </w:pPr>
      <w:r>
        <w:t>Pointless memoization: useMemo wrapping simple type casts that don’t prevent re-renders</w:t>
      </w:r>
    </w:p>
    <w:p>
      <w:pPr>
        <w:pStyle w:val="ListBullet"/>
      </w:pPr>
      <w:r>
        <w:t>No virtual scrolling: stock tables render all rows regardless of count, with no visible pagination</w:t>
      </w:r>
    </w:p>
    <w:p>
      <w:pPr>
        <w:pStyle w:val="ListBullet"/>
      </w:pPr>
      <w:r>
        <w:t>Full CSV loaded into memory for export without streaming</w:t>
      </w:r>
    </w:p>
    <w:p>
      <w:pPr>
        <w:pStyle w:val="Heading1"/>
      </w:pPr>
      <w:r>
        <w:t>Missing Essentials</w:t>
      </w:r>
    </w:p>
    <w:tbl>
      <w:tblPr>
        <w:tblStyle w:val="TableGrid"/>
        <w:tblW w:type="auto" w:w="0"/>
        <w:tblLook w:firstColumn="1" w:firstRow="1" w:lastColumn="0" w:lastRow="0" w:noHBand="0" w:noVBand="1" w:val="04A0"/>
      </w:tblPr>
      <w:tblGrid>
        <w:gridCol w:w="4320"/>
        <w:gridCol w:w="4320"/>
      </w:tblGrid>
      <w:tr>
        <w:tc>
          <w:tcPr>
            <w:tcW w:type="dxa" w:w="4320"/>
            <w:shd w:fill="1565C0"/>
          </w:tcPr>
          <w:p>
            <w:r>
              <w:rPr>
                <w:rFonts w:ascii="Arial" w:hAnsi="Arial"/>
                <w:b/>
                <w:color w:val="FFFFFF"/>
                <w:sz w:val="20"/>
              </w:rPr>
              <w:t>Missing Item</w:t>
            </w:r>
          </w:p>
        </w:tc>
        <w:tc>
          <w:tcPr>
            <w:tcW w:type="dxa" w:w="4320"/>
            <w:shd w:fill="1565C0"/>
          </w:tcPr>
          <w:p>
            <w:r>
              <w:rPr>
                <w:rFonts w:ascii="Arial" w:hAnsi="Arial"/>
                <w:b/>
                <w:color w:val="FFFFFF"/>
                <w:sz w:val="20"/>
              </w:rPr>
              <w:t>Why It Matters</w:t>
            </w:r>
          </w:p>
        </w:tc>
      </w:tr>
      <w:tr>
        <w:tc>
          <w:tcPr>
            <w:tcW w:type="dxa" w:w="4320"/>
          </w:tcPr>
          <w:p>
            <w:r>
              <w:rPr>
                <w:rFonts w:ascii="Arial" w:hAnsi="Arial"/>
                <w:b/>
                <w:sz w:val="20"/>
              </w:rPr>
              <w:t>Tests</w:t>
            </w:r>
          </w:p>
        </w:tc>
        <w:tc>
          <w:tcPr>
            <w:tcW w:type="dxa" w:w="4320"/>
          </w:tcPr>
          <w:p>
            <w:r>
              <w:rPr>
                <w:rFonts w:ascii="Arial" w:hAnsi="Arial"/>
                <w:b w:val="0"/>
                <w:sz w:val="20"/>
              </w:rPr>
              <w:t>Zero .test.ts files. No confidence in refactoring or feature additions.</w:t>
            </w:r>
          </w:p>
        </w:tc>
      </w:tr>
      <w:tr>
        <w:tc>
          <w:tcPr>
            <w:tcW w:type="dxa" w:w="4320"/>
            <w:shd w:fill="F5F5F5"/>
          </w:tcPr>
          <w:p>
            <w:r>
              <w:rPr>
                <w:rFonts w:ascii="Arial" w:hAnsi="Arial"/>
                <w:b/>
                <w:sz w:val="20"/>
              </w:rPr>
              <w:t>.env.example</w:t>
            </w:r>
          </w:p>
        </w:tc>
        <w:tc>
          <w:tcPr>
            <w:tcW w:type="dxa" w:w="4320"/>
            <w:shd w:fill="F5F5F5"/>
          </w:tcPr>
          <w:p>
            <w:r>
              <w:rPr>
                <w:rFonts w:ascii="Arial" w:hAnsi="Arial"/>
                <w:b w:val="0"/>
                <w:sz w:val="20"/>
              </w:rPr>
              <w:t>New developers cannot set up the project without guessing env vars.</w:t>
            </w:r>
          </w:p>
        </w:tc>
      </w:tr>
      <w:tr>
        <w:tc>
          <w:tcPr>
            <w:tcW w:type="dxa" w:w="4320"/>
          </w:tcPr>
          <w:p>
            <w:r>
              <w:rPr>
                <w:rFonts w:ascii="Arial" w:hAnsi="Arial"/>
                <w:b/>
                <w:sz w:val="20"/>
              </w:rPr>
              <w:t>Error logging</w:t>
            </w:r>
          </w:p>
        </w:tc>
        <w:tc>
          <w:tcPr>
            <w:tcW w:type="dxa" w:w="4320"/>
          </w:tcPr>
          <w:p>
            <w:r>
              <w:rPr>
                <w:rFonts w:ascii="Arial" w:hAnsi="Arial"/>
                <w:b w:val="0"/>
                <w:sz w:val="20"/>
              </w:rPr>
              <w:t>No Sentry or equivalent. Production errors go unnoticed.</w:t>
            </w:r>
          </w:p>
        </w:tc>
      </w:tr>
      <w:tr>
        <w:tc>
          <w:tcPr>
            <w:tcW w:type="dxa" w:w="4320"/>
            <w:shd w:fill="F5F5F5"/>
          </w:tcPr>
          <w:p>
            <w:r>
              <w:rPr>
                <w:rFonts w:ascii="Arial" w:hAnsi="Arial"/>
                <w:b/>
                <w:sz w:val="20"/>
              </w:rPr>
              <w:t>next.config.ts</w:t>
            </w:r>
          </w:p>
        </w:tc>
        <w:tc>
          <w:tcPr>
            <w:tcW w:type="dxa" w:w="4320"/>
            <w:shd w:fill="F5F5F5"/>
          </w:tcPr>
          <w:p>
            <w:r>
              <w:rPr>
                <w:rFonts w:ascii="Arial" w:hAnsi="Arial"/>
                <w:b w:val="0"/>
                <w:sz w:val="20"/>
              </w:rPr>
              <w:t>Essentially empty. No image or package import optimization.</w:t>
            </w:r>
          </w:p>
        </w:tc>
      </w:tr>
      <w:tr>
        <w:tc>
          <w:tcPr>
            <w:tcW w:type="dxa" w:w="4320"/>
          </w:tcPr>
          <w:p>
            <w:r>
              <w:rPr>
                <w:rFonts w:ascii="Arial" w:hAnsi="Arial"/>
                <w:b/>
                <w:sz w:val="20"/>
              </w:rPr>
              <w:t>i18n</w:t>
            </w:r>
          </w:p>
        </w:tc>
        <w:tc>
          <w:tcPr>
            <w:tcW w:type="dxa" w:w="4320"/>
          </w:tcPr>
          <w:p>
            <w:r>
              <w:rPr>
                <w:rFonts w:ascii="Arial" w:hAnsi="Arial"/>
                <w:b w:val="0"/>
                <w:sz w:val="20"/>
              </w:rPr>
              <w:t>All UI strings hardcoded in French. No path to multi-language support.</w:t>
            </w:r>
          </w:p>
        </w:tc>
      </w:tr>
      <w:tr>
        <w:tc>
          <w:tcPr>
            <w:tcW w:type="dxa" w:w="4320"/>
            <w:shd w:fill="F5F5F5"/>
          </w:tcPr>
          <w:p>
            <w:r>
              <w:rPr>
                <w:rFonts w:ascii="Arial" w:hAnsi="Arial"/>
                <w:b/>
                <w:sz w:val="20"/>
              </w:rPr>
              <w:t>Keyboard nav</w:t>
            </w:r>
          </w:p>
        </w:tc>
        <w:tc>
          <w:tcPr>
            <w:tcW w:type="dxa" w:w="4320"/>
            <w:shd w:fill="F5F5F5"/>
          </w:tcPr>
          <w:p>
            <w:r>
              <w:rPr>
                <w:rFonts w:ascii="Arial" w:hAnsi="Arial"/>
                <w:b w:val="0"/>
                <w:sz w:val="20"/>
              </w:rPr>
              <w:t>Modals and interactive elements lack ARIA labels and focus management.</w:t>
            </w:r>
          </w:p>
        </w:tc>
      </w:tr>
      <w:tr>
        <w:tc>
          <w:tcPr>
            <w:tcW w:type="dxa" w:w="4320"/>
          </w:tcPr>
          <w:p>
            <w:r>
              <w:rPr>
                <w:rFonts w:ascii="Arial" w:hAnsi="Arial"/>
                <w:b/>
                <w:sz w:val="20"/>
              </w:rPr>
              <w:t>Loading skeletons</w:t>
            </w:r>
          </w:p>
        </w:tc>
        <w:tc>
          <w:tcPr>
            <w:tcW w:type="dxa" w:w="4320"/>
          </w:tcPr>
          <w:p>
            <w:r>
              <w:rPr>
                <w:rFonts w:ascii="Arial" w:hAnsi="Arial"/>
                <w:b w:val="0"/>
                <w:sz w:val="20"/>
              </w:rPr>
              <w:t>Users see spinner text instead of content-shaped placeholders.</w:t>
            </w:r>
          </w:p>
        </w:tc>
      </w:tr>
      <w:tr>
        <w:tc>
          <w:tcPr>
            <w:tcW w:type="dxa" w:w="4320"/>
            <w:shd w:fill="F5F5F5"/>
          </w:tcPr>
          <w:p>
            <w:r>
              <w:rPr>
                <w:rFonts w:ascii="Arial" w:hAnsi="Arial"/>
                <w:b/>
                <w:sz w:val="20"/>
              </w:rPr>
              <w:t>Undo/Redo</w:t>
            </w:r>
          </w:p>
        </w:tc>
        <w:tc>
          <w:tcPr>
            <w:tcW w:type="dxa" w:w="4320"/>
            <w:shd w:fill="F5F5F5"/>
          </w:tcPr>
          <w:p>
            <w:r>
              <w:rPr>
                <w:rFonts w:ascii="Arial" w:hAnsi="Arial"/>
                <w:b w:val="0"/>
                <w:sz w:val="20"/>
              </w:rPr>
              <w:t>Inline edits are irreversible. One misclick can corrupt data.</w:t>
            </w:r>
          </w:p>
        </w:tc>
      </w:tr>
    </w:tbl>
    <w:p>
      <w:r>
        <w:br w:type="page"/>
      </w:r>
    </w:p>
    <w:p>
      <w:pPr>
        <w:pStyle w:val="Heading1"/>
      </w:pPr>
      <w:r>
        <w:t>Priority Roadmap</w:t>
      </w:r>
    </w:p>
    <w:p>
      <w:r>
        <w:t>The following actions are ordered by impact and urgency. Estimated total effort to production-readiness: 4–6 weeks for a team of 2–3 engineers.</w:t>
      </w:r>
    </w:p>
    <w:p>
      <w:pPr>
        <w:pStyle w:val="Heading2"/>
      </w:pPr>
      <w:r>
        <w:t>Critical (Do First)</w:t>
      </w:r>
    </w:p>
    <w:p>
      <w:pPr>
        <w:pStyle w:val="ListNumber"/>
      </w:pPr>
      <w:r>
        <w:rPr>
          <w:rFonts w:ascii="Arial" w:hAnsi="Arial"/>
          <w:b/>
        </w:rPr>
        <w:t>Implement real authentication</w:t>
      </w:r>
      <w:r>
        <w:rPr>
          <w:rFonts w:ascii="Arial" w:hAnsi="Arial"/>
        </w:rPr>
        <w:t xml:space="preserve"> — Supabase Auth + Next.js middleware for protected routes</w:t>
      </w:r>
    </w:p>
    <w:p>
      <w:pPr>
        <w:pStyle w:val="ListNumber"/>
      </w:pPr>
      <w:r>
        <w:rPr>
          <w:rFonts w:ascii="Arial" w:hAnsi="Arial"/>
          <w:b/>
        </w:rPr>
        <w:t>Consolidate the data layer</w:t>
      </w:r>
      <w:r>
        <w:rPr>
          <w:rFonts w:ascii="Arial" w:hAnsi="Arial"/>
        </w:rPr>
        <w:t xml:space="preserve"> — Remove DataProvider duplication, single source of truth</w:t>
      </w:r>
    </w:p>
    <w:p>
      <w:pPr>
        <w:pStyle w:val="ListNumber"/>
      </w:pPr>
      <w:r>
        <w:rPr>
          <w:rFonts w:ascii="Arial" w:hAnsi="Arial"/>
          <w:b/>
        </w:rPr>
        <w:t>Add input validation everywhere</w:t>
      </w:r>
      <w:r>
        <w:rPr>
          <w:rFonts w:ascii="Arial" w:hAnsi="Arial"/>
        </w:rPr>
        <w:t xml:space="preserve"> — Zod schemas on all mutations, client + server</w:t>
      </w:r>
    </w:p>
    <w:p>
      <w:pPr>
        <w:pStyle w:val="ListNumber"/>
      </w:pPr>
      <w:r>
        <w:rPr>
          <w:rFonts w:ascii="Arial" w:hAnsi="Arial"/>
          <w:b/>
        </w:rPr>
        <w:t>Fix XSS in map popups</w:t>
      </w:r>
      <w:r>
        <w:rPr>
          <w:rFonts w:ascii="Arial" w:hAnsi="Arial"/>
        </w:rPr>
        <w:t xml:space="preserve"> — Escape all user content in Leaflet HTML strings</w:t>
      </w:r>
    </w:p>
    <w:p>
      <w:pPr>
        <w:pStyle w:val="ListNumber"/>
      </w:pPr>
      <w:r>
        <w:rPr>
          <w:rFonts w:ascii="Arial" w:hAnsi="Arial"/>
          <w:b/>
        </w:rPr>
        <w:t>Enable Supabase RLS</w:t>
      </w:r>
      <w:r>
        <w:rPr>
          <w:rFonts w:ascii="Arial" w:hAnsi="Arial"/>
        </w:rPr>
        <w:t xml:space="preserve"> — Row-level security policies on all tables</w:t>
      </w:r>
    </w:p>
    <w:p>
      <w:pPr>
        <w:pStyle w:val="Heading2"/>
      </w:pPr>
      <w:r>
        <w:t>High Priority (Do Soon)</w:t>
      </w:r>
    </w:p>
    <w:p>
      <w:pPr>
        <w:pStyle w:val="ListNumber"/>
      </w:pPr>
      <w:r>
        <w:t>Split stock/page.tsx into smaller components (target &lt; 300 lines each)</w:t>
      </w:r>
    </w:p>
    <w:p>
      <w:pPr>
        <w:pStyle w:val="ListNumber"/>
      </w:pPr>
      <w:r>
        <w:t>Consolidate color/status mappings into a shared design-system file</w:t>
      </w:r>
    </w:p>
    <w:p>
      <w:pPr>
        <w:pStyle w:val="ListNumber"/>
      </w:pPr>
      <w:r>
        <w:t>Add error boundaries and a logging service (Sentry recommended)</w:t>
      </w:r>
    </w:p>
    <w:p>
      <w:pPr>
        <w:pStyle w:val="ListNumber"/>
      </w:pPr>
      <w:r>
        <w:t>Replace spinner text with skeleton loading states</w:t>
      </w:r>
    </w:p>
    <w:p>
      <w:pPr>
        <w:pStyle w:val="ListNumber"/>
      </w:pPr>
      <w:r>
        <w:t>Batch related data fetches with Promise.all to reduce request count</w:t>
      </w:r>
    </w:p>
    <w:p>
      <w:pPr>
        <w:pStyle w:val="Heading2"/>
      </w:pPr>
      <w:r>
        <w:t>Medium Priority (Next Sprint)</w:t>
      </w:r>
    </w:p>
    <w:p>
      <w:pPr>
        <w:pStyle w:val="ListBullet"/>
      </w:pPr>
      <w:r>
        <w:t>Extract inline-edit logic into a reusable hook shared across Stock and Products</w:t>
      </w:r>
    </w:p>
    <w:p>
      <w:pPr>
        <w:pStyle w:val="ListBullet"/>
      </w:pPr>
      <w:r>
        <w:t>Add i18n support with next-intl for French/English</w:t>
      </w:r>
    </w:p>
    <w:p>
      <w:pPr>
        <w:pStyle w:val="ListBullet"/>
      </w:pPr>
      <w:r>
        <w:t>Add keyboard navigation and ARIA labels to modals and interactive elements</w:t>
      </w:r>
    </w:p>
    <w:p>
      <w:pPr>
        <w:pStyle w:val="ListBullet"/>
      </w:pPr>
      <w:r>
        <w:t>Implement virtual scrolling for large tables</w:t>
      </w:r>
    </w:p>
    <w:p>
      <w:pPr>
        <w:pStyle w:val="ListBullet"/>
      </w:pPr>
      <w:r>
        <w:t>Write unit tests for hooks, utilities, and data mapping functions</w:t>
      </w:r>
    </w:p>
    <w:p>
      <w:pPr>
        <w:pStyle w:val="ListBullet"/>
      </w:pPr>
      <w:r>
        <w:t>Create .env.example and improve onboarding documentation</w:t>
      </w:r>
    </w:p>
    <w:p>
      <w:pPr>
        <w:pStyle w:val="Heading2"/>
      </w:pPr>
      <w:r>
        <w:t>Low Priority (Nice to Have)</w:t>
      </w:r>
    </w:p>
    <w:p>
      <w:pPr>
        <w:pStyle w:val="ListBullet"/>
      </w:pPr>
      <w:r>
        <w:t>Optimize bundle size (tree-shake Recharts and Leaflet)</w:t>
      </w:r>
    </w:p>
    <w:p>
      <w:pPr>
        <w:pStyle w:val="ListBullet"/>
      </w:pPr>
      <w:r>
        <w:t>Add Storybook for isolated component development</w:t>
      </w:r>
    </w:p>
    <w:p>
      <w:pPr>
        <w:pStyle w:val="ListBullet"/>
      </w:pPr>
      <w:r>
        <w:t>Implement feature flags for progressive rollout</w:t>
      </w:r>
    </w:p>
    <w:p>
      <w:pPr>
        <w:pStyle w:val="ListBullet"/>
      </w:pPr>
      <w:r>
        <w:t>Configure next.config.ts with image optimization and package imports</w:t>
      </w:r>
    </w:p>
    <w:p>
      <w:pPr>
        <w:pStyle w:val="Heading1"/>
      </w:pPr>
      <w:r>
        <w:t>Conclusion</w:t>
      </w:r>
    </w:p>
    <w:p>
      <w:r>
        <w:t>LeadFarm has an excellent visual foundation and demonstrates strong React/Next.js knowledge. The UI design is genuinely impressive and could compete with commercial agricultural SaaS products. However, the application is not production-ready due to the complete absence of authentication, significant security vulnerabilities, and architectural inconsistencies in the data layer.</w:t>
      </w:r>
    </w:p>
    <w:p>
      <w:r>
        <w:t>The good news is that the core issues are fixable without a rewrite. The component structure is sound, the styling system is coherent, and the page layouts are well-thought-out. With focused effort on security hardening, data layer consolidation, and code organization, this project can reach production quality within 4–6 weeks.</w:t>
      </w:r>
    </w:p>
    <w:p>
      <w:r>
        <w:rPr>
          <w:rFonts w:ascii="Arial" w:hAnsi="Arial"/>
          <w:b/>
        </w:rPr>
        <w:t xml:space="preserve">The strongest asset is the design. </w:t>
      </w:r>
      <w:r>
        <w:rPr>
          <w:rFonts w:ascii="Arial" w:hAnsi="Arial"/>
        </w:rPr>
        <w:t>Protect it by building equally strong engineering foundations underneath.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565C0"/>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212121"/>
      <w:sz w:val="3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424242"/>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