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160000" cy="4687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si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/>
          <w:b/>
          <w:i w:val="0"/>
          <w:color w:val="000000"/>
          <w:sz w:val="28"/>
          <w:u w:val="single"/>
        </w:rPr>
        <w:t>PLAN DU RAPPORT DE FIN D'ETUDES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color w:val="C00000"/>
          <w:sz w:val="22"/>
          <w:u w:val="none"/>
        </w:rPr>
        <w:t>Encadrant : Pr. M. FIKRI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color w:val="000000"/>
          <w:sz w:val="22"/>
          <w:u w:val="none"/>
        </w:rPr>
        <w:t>Filière : Ingénierie Financière et Audit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color w:val="000000"/>
          <w:sz w:val="22"/>
          <w:u w:val="none"/>
        </w:rPr>
        <w:t>Année universitaire : 2025-2026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color w:val="000000"/>
          <w:sz w:val="22"/>
          <w:u w:val="none"/>
        </w:rPr>
        <w:t>Etudiant : Akram Marouane</w:t>
      </w:r>
    </w:p>
    <w:p>
      <w:pPr>
        <w:spacing w:after="320"/>
        <w:jc w:val="center"/>
      </w:pPr>
      <w:r>
        <w:rPr>
          <w:rFonts w:ascii="Times New Roman" w:hAnsi="Times New Roman"/>
          <w:b/>
          <w:i/>
          <w:color w:val="C00000"/>
          <w:sz w:val="22"/>
          <w:u w:val="none"/>
        </w:rPr>
        <w:t>Sujet : Optimisation dynamique de portefeuille des entreprises cotées en Bourse de Casablanca basée sur la prévision de risque à travers la création et l'utilisation d'un agent IA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INTRODUCTION GÉNÉRALE</w:t>
      </w:r>
    </w:p>
    <w:p>
      <w:pPr>
        <w:spacing w:after="160" w:before="160"/>
      </w:pPr>
      <w:r>
        <w:rPr>
          <w:rFonts w:ascii="Times New Roman" w:hAnsi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60"/>
        <w:jc w:val="center"/>
      </w:pPr>
      <w:r>
        <w:rPr>
          <w:rFonts w:ascii="Times New Roman" w:hAnsi="Times New Roman"/>
          <w:b/>
          <w:i w:val="0"/>
          <w:color w:val="000000"/>
          <w:sz w:val="26"/>
          <w:u w:val="single"/>
        </w:rPr>
        <w:t>PARTIE I — CADRE THÉORIQUE ET CONCEPTUEL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4"/>
          <w:u w:val="none"/>
        </w:rPr>
        <w:t>Chapitre 1 — Fondements de la gestion de portefeuille et mesure du risque</w:t>
      </w:r>
    </w:p>
    <w:p>
      <w:pPr>
        <w:spacing w:before="40" w:after="40"/>
        <w:ind w:left="567"/>
      </w:pPr>
      <w:r>
        <w:rPr>
          <w:rFonts w:ascii="Times New Roman" w:hAnsi="Times New Roman"/>
          <w:b w:val="0"/>
          <w:i/>
          <w:color w:val="404040"/>
          <w:sz w:val="22"/>
          <w:u w:val="none"/>
        </w:rPr>
        <w:t>▸  Section 1.1 — La théorie moderne du portefeuille</w:t>
      </w:r>
    </w:p>
    <w:p>
      <w:pPr>
        <w:spacing w:before="40" w:after="40"/>
        <w:ind w:left="567"/>
      </w:pPr>
      <w:r>
        <w:rPr>
          <w:rFonts w:ascii="Times New Roman" w:hAnsi="Times New Roman"/>
          <w:b w:val="0"/>
          <w:i/>
          <w:color w:val="404040"/>
          <w:sz w:val="22"/>
          <w:u w:val="none"/>
        </w:rPr>
        <w:t>▸  Section 1.2 — Les indicateurs de mesure du risque financier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4"/>
          <w:u w:val="none"/>
        </w:rPr>
        <w:t>Chapitre 2 — Intelligence artificielle et automatisation en gestion d'actifs</w:t>
      </w:r>
    </w:p>
    <w:p>
      <w:pPr>
        <w:spacing w:before="40" w:after="40"/>
        <w:ind w:left="567"/>
      </w:pPr>
      <w:r>
        <w:rPr>
          <w:rFonts w:ascii="Times New Roman" w:hAnsi="Times New Roman"/>
          <w:b w:val="0"/>
          <w:i/>
          <w:color w:val="404040"/>
          <w:sz w:val="22"/>
          <w:u w:val="none"/>
        </w:rPr>
        <w:t>▸  Section 2.1 — Les agents IA : définition et architecture</w:t>
      </w:r>
    </w:p>
    <w:p>
      <w:pPr>
        <w:spacing w:before="40" w:after="40"/>
        <w:ind w:left="567"/>
      </w:pPr>
      <w:r>
        <w:rPr>
          <w:rFonts w:ascii="Times New Roman" w:hAnsi="Times New Roman"/>
          <w:b w:val="0"/>
          <w:i/>
          <w:color w:val="404040"/>
          <w:sz w:val="22"/>
          <w:u w:val="none"/>
        </w:rPr>
        <w:t>▸  Section 2.2 — Applications des agents IA en gestion d'actifs</w:t>
      </w:r>
    </w:p>
    <w:p>
      <w:pPr>
        <w:spacing w:after="160" w:before="160"/>
      </w:pPr>
      <w:r>
        <w:rPr>
          <w:rFonts w:ascii="Times New Roman" w:hAnsi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60"/>
        <w:jc w:val="center"/>
      </w:pPr>
      <w:r>
        <w:rPr>
          <w:rFonts w:ascii="Times New Roman" w:hAnsi="Times New Roman"/>
          <w:b/>
          <w:i w:val="0"/>
          <w:color w:val="000000"/>
          <w:sz w:val="26"/>
          <w:u w:val="single"/>
        </w:rPr>
        <w:t>PARTIE II — CADRE PRATIQUE ET IMPLÉMENTATION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4"/>
          <w:u w:val="none"/>
        </w:rPr>
        <w:t>Chapitre 3 — Analyse des entreprises cotées à la Bourse de Casablanca</w:t>
      </w:r>
    </w:p>
    <w:p>
      <w:pPr>
        <w:spacing w:before="40" w:after="40"/>
        <w:ind w:left="567"/>
      </w:pPr>
      <w:r>
        <w:rPr>
          <w:rFonts w:ascii="Times New Roman" w:hAnsi="Times New Roman"/>
          <w:b w:val="0"/>
          <w:i/>
          <w:color w:val="404040"/>
          <w:sz w:val="22"/>
          <w:u w:val="none"/>
        </w:rPr>
        <w:t>▸  Section 3.1 — Présentation du cadre empirique</w:t>
      </w:r>
    </w:p>
    <w:p>
      <w:pPr>
        <w:spacing w:before="40" w:after="40"/>
        <w:ind w:left="567"/>
      </w:pPr>
      <w:r>
        <w:rPr>
          <w:rFonts w:ascii="Times New Roman" w:hAnsi="Times New Roman"/>
          <w:b w:val="0"/>
          <w:i/>
          <w:color w:val="404040"/>
          <w:sz w:val="22"/>
          <w:u w:val="none"/>
        </w:rPr>
        <w:t>▸  Section 3.2 — Calcul et analyse des 20 indicateurs de risque</w:t>
      </w:r>
    </w:p>
    <w:p>
      <w:pPr>
        <w:spacing w:before="200" w:after="80"/>
      </w:pPr>
      <w:r>
        <w:rPr>
          <w:rFonts w:ascii="Times New Roman" w:hAnsi="Times New Roman"/>
          <w:b/>
          <w:i w:val="0"/>
          <w:color w:val="C00000"/>
          <w:sz w:val="24"/>
          <w:u w:val="none"/>
        </w:rPr>
        <w:t>Chapitre 4 — Construction de l'agent IA et optimisation de portefeuille</w:t>
      </w:r>
    </w:p>
    <w:p>
      <w:pPr>
        <w:spacing w:before="40" w:after="40"/>
        <w:ind w:left="567"/>
      </w:pPr>
      <w:r>
        <w:rPr>
          <w:rFonts w:ascii="Times New Roman" w:hAnsi="Times New Roman"/>
          <w:b w:val="0"/>
          <w:i/>
          <w:color w:val="404040"/>
          <w:sz w:val="22"/>
          <w:u w:val="none"/>
        </w:rPr>
        <w:t>▸  Section 4.1 — Optimisation dynamique du portefeuille</w:t>
      </w:r>
    </w:p>
    <w:p>
      <w:pPr>
        <w:spacing w:before="40" w:after="40"/>
        <w:ind w:left="567"/>
      </w:pPr>
      <w:r>
        <w:rPr>
          <w:rFonts w:ascii="Times New Roman" w:hAnsi="Times New Roman"/>
          <w:b w:val="0"/>
          <w:i/>
          <w:color w:val="404040"/>
          <w:sz w:val="22"/>
          <w:u w:val="none"/>
        </w:rPr>
        <w:t>▸  Section 4.2 — Développement de l'agent IA et de l'interface</w:t>
      </w:r>
    </w:p>
    <w:p>
      <w:pPr>
        <w:spacing w:after="160" w:before="160"/>
      </w:pPr>
      <w:r>
        <w:rPr>
          <w:rFonts w:ascii="Times New Roman" w:hAnsi="Times New Roman"/>
          <w:b w:val="0"/>
          <w:i w:val="0"/>
          <w:color w:val="CCCCCC"/>
          <w:sz w:val="16"/>
          <w:u w:val="none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CONCLUSION GÉNÉRALE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BIBLIOGRAPHIE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ANNEXES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