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0"/>
        <w:jc w:val="center"/>
      </w:pPr>
      <w:r>
        <w:rPr>
          <w:rFonts w:ascii="Arial" w:cs="Arial" w:eastAsia="Arial" w:hAnsi="Arial"/>
          <w:b/>
          <w:bCs/>
          <w:color w:val="1B6E52"/>
          <w:sz w:val="68"/>
          <w:szCs w:val="68"/>
        </w:rPr>
        <w:t xml:space="preserve">GreenLeaf Mart</w:t>
      </w:r>
    </w:p>
    <w:p>
      <w:pPr>
        <w:spacing w:after="80"/>
        <w:jc w:val="center"/>
      </w:pPr>
      <w:r>
        <w:rPr>
          <w:rFonts w:ascii="Arial" w:cs="Arial" w:eastAsia="Arial" w:hAnsi="Arial"/>
          <w:color w:val="13513D"/>
          <w:sz w:val="44"/>
          <w:szCs w:val="44"/>
        </w:rPr>
        <w:t xml:space="preserve">Sales Forecasting &amp; Inventory Planning</w:t>
      </w:r>
    </w:p>
    <w:p>
      <w:pPr>
        <w:spacing w:after="480"/>
        <w:jc w:val="center"/>
      </w:pPr>
      <w:r>
        <w:rPr>
          <w:rFonts w:ascii="Arial" w:cs="Arial" w:eastAsia="Arial" w:hAnsi="Arial"/>
          <w:color w:val="555555"/>
          <w:sz w:val="28"/>
          <w:szCs w:val="28"/>
        </w:rPr>
        <w:t xml:space="preserve">Demand Forecasting Model — BA Portfolio Project</w:t>
      </w:r>
    </w:p>
    <w:p>
      <w:pPr>
        <w:spacing w:after="80"/>
        <w:jc w:val="center"/>
      </w:pPr>
      <w:r>
        <w:rPr>
          <w:rFonts w:ascii="Arial" w:cs="Arial" w:eastAsia="Arial" w:hAnsi="Arial"/>
          <w:color w:val="666666"/>
          <w:sz w:val="22"/>
          <w:szCs w:val="22"/>
        </w:rPr>
        <w:t xml:space="preserve">Prepared by: Akrati Yadav</w:t>
      </w:r>
    </w:p>
    <w:p>
      <w:pPr>
        <w:spacing w:after="80"/>
        <w:jc w:val="center"/>
      </w:pPr>
      <w:r>
        <w:rPr>
          <w:rFonts w:ascii="Arial" w:cs="Arial" w:eastAsia="Arial" w:hAnsi="Arial"/>
          <w:color w:val="666666"/>
          <w:sz w:val="22"/>
          <w:szCs w:val="22"/>
        </w:rPr>
        <w:t xml:space="preserve">Role: Business Analyst (Learner Portfolio)</w:t>
      </w:r>
    </w:p>
    <w:p>
      <w:pPr>
        <w:spacing w:after="80"/>
        <w:jc w:val="center"/>
      </w:pPr>
      <w:r>
        <w:rPr>
          <w:rFonts w:ascii="Arial" w:cs="Arial" w:eastAsia="Arial" w:hAnsi="Arial"/>
          <w:color w:val="666666"/>
          <w:sz w:val="22"/>
          <w:szCs w:val="22"/>
        </w:rPr>
        <w:t xml:space="preserve">Date: May 2026</w:t>
      </w:r>
    </w:p>
    <w:p>
      <w:pPr>
        <w:spacing w:after="80"/>
        <w:jc w:val="center"/>
      </w:pPr>
      <w:r>
        <w:rPr>
          <w:rFonts w:ascii="Arial" w:cs="Arial" w:eastAsia="Arial" w:hAnsi="Arial"/>
          <w:color w:val="666666"/>
          <w:sz w:val="22"/>
          <w:szCs w:val="22"/>
        </w:rPr>
        <w:t xml:space="preserve">Version: 1.0</w:t>
      </w:r>
    </w:p>
    <w:p>
      <w:pPr>
        <w:spacing w:after="80" w:before="80"/>
      </w:pPr>
      <w:r>
        <w:t xml:space="preserve"/>
      </w:r>
    </w:p>
    <w:p>
      <w:pPr>
        <w:spacing w:after="80" w:before="80"/>
      </w:pPr>
      <w:r>
        <w:t xml:space="preserve"/>
      </w:r>
    </w:p>
    <w:p>
      <w:pPr>
        <w:spacing w:after="80" w:before="80"/>
      </w:pPr>
      <w:r>
        <w:t xml:space="preserve"/>
      </w:r>
    </w:p>
    <w:p>
      <w:pPr>
        <w:shd w:fill="1B6E52" w:val="clear"/>
        <w:spacing w:after="160" w:before="320"/>
        <w:jc w:val="center"/>
      </w:pPr>
      <w:r>
        <w:rPr>
          <w:rFonts w:ascii="Arial" w:cs="Arial" w:eastAsia="Arial" w:hAnsi="Arial"/>
          <w:b/>
          <w:bCs/>
          <w:color w:val="FFFFFF"/>
          <w:sz w:val="24"/>
          <w:szCs w:val="24"/>
        </w:rPr>
        <w:t xml:space="preserve">  PHASE 1 — BUSINESS CONTEXT &amp; PROBLEM  </w:t>
      </w:r>
    </w:p>
    <w:p>
      <w:pPr>
        <w:pStyle w:val="Heading1"/>
        <w:pBdr>
          <w:bottom w:val="single" w:color="1B6E52" w:sz="4" w:space="4"/>
        </w:pBdr>
        <w:spacing w:after="160" w:before="360"/>
      </w:pPr>
      <w:r>
        <w:rPr>
          <w:rFonts w:ascii="Arial" w:cs="Arial" w:eastAsia="Arial" w:hAnsi="Arial"/>
          <w:b/>
          <w:bCs/>
          <w:color w:val="1B6E52"/>
          <w:sz w:val="32"/>
          <w:szCs w:val="32"/>
        </w:rPr>
        <w:t xml:space="preserve">1. Business Problem Statement</w:t>
      </w:r>
    </w:p>
    <w:p>
      <w:pPr>
        <w:pStyle w:val="Heading2"/>
        <w:spacing w:after="120" w:before="280"/>
      </w:pPr>
      <w:r>
        <w:rPr>
          <w:rFonts w:ascii="Arial" w:cs="Arial" w:eastAsia="Arial" w:hAnsi="Arial"/>
          <w:b/>
          <w:bCs/>
          <w:color w:val="13513D"/>
          <w:sz w:val="26"/>
          <w:szCs w:val="26"/>
        </w:rPr>
        <w:t xml:space="preserve">1.1 Background</w:t>
      </w:r>
    </w:p>
    <w:p>
      <w:pPr>
        <w:spacing w:after="80" w:before="80"/>
      </w:pPr>
      <w:r>
        <w:rPr>
          <w:rFonts w:ascii="Arial" w:cs="Arial" w:eastAsia="Arial" w:hAnsi="Arial"/>
          <w:color w:val="333333"/>
          <w:sz w:val="22"/>
          <w:szCs w:val="22"/>
        </w:rPr>
        <w:t xml:space="preserve">GreenLeaf Mart is a mid-sized grocery and household retail chain with 12 stores. Inventory planning is currently done manually by store managers based on gut feel, leading to two recurring problems: stockouts on fast-moving items during weekends and festivals, and overstock of slow-moving items that get marked down or wasted.</w:t>
      </w:r>
    </w:p>
    <w:p>
      <w:pPr>
        <w:spacing w:after="80" w:before="80"/>
      </w:pPr>
      <w:r>
        <w:rPr>
          <w:rFonts w:ascii="Arial" w:cs="Arial" w:eastAsia="Arial" w:hAnsi="Arial"/>
          <w:color w:val="333333"/>
          <w:sz w:val="22"/>
          <w:szCs w:val="22"/>
        </w:rPr>
        <w:t xml:space="preserve">Finance estimates that stockouts cost an average of Rs. 8 lakh per month in lost sales across all stores, while overstock write-offs cost an additional Rs. 5 lakh per month. Leadership has asked the BA team to build a data-driven forecasting model to guide weekly inventory orders.</w:t>
      </w:r>
    </w:p>
    <w:p>
      <w:pPr>
        <w:pStyle w:val="Heading2"/>
        <w:spacing w:after="120" w:before="280"/>
      </w:pPr>
      <w:r>
        <w:rPr>
          <w:rFonts w:ascii="Arial" w:cs="Arial" w:eastAsia="Arial" w:hAnsi="Arial"/>
          <w:b/>
          <w:bCs/>
          <w:color w:val="13513D"/>
          <w:sz w:val="26"/>
          <w:szCs w:val="26"/>
        </w:rPr>
        <w:t xml:space="preserve">1.2 Business Questions</w:t>
      </w:r>
    </w:p>
    <w:p>
      <w:pPr>
        <w:pStyle w:val="ListParagraph"/>
        <w:numPr>
          <w:ilvl w:val="0"/>
          <w:numId w:val="2"/>
        </w:numPr>
        <w:spacing w:after="40" w:before="40"/>
      </w:pPr>
      <w:r>
        <w:rPr>
          <w:rFonts w:ascii="Arial" w:cs="Arial" w:eastAsia="Arial" w:hAnsi="Arial"/>
          <w:color w:val="333333"/>
          <w:sz w:val="22"/>
          <w:szCs w:val="22"/>
        </w:rPr>
        <w:t xml:space="preserve">How much of each product category will we sell next week / next month?</w:t>
      </w:r>
    </w:p>
    <w:p>
      <w:pPr>
        <w:pStyle w:val="ListParagraph"/>
        <w:numPr>
          <w:ilvl w:val="0"/>
          <w:numId w:val="2"/>
        </w:numPr>
        <w:spacing w:after="40" w:before="40"/>
      </w:pPr>
      <w:r>
        <w:rPr>
          <w:rFonts w:ascii="Arial" w:cs="Arial" w:eastAsia="Arial" w:hAnsi="Arial"/>
          <w:color w:val="333333"/>
          <w:sz w:val="22"/>
          <w:szCs w:val="22"/>
        </w:rPr>
        <w:t xml:space="preserve">Which products show seasonal spikes (festivals, weekends, month-end salary cycles)?</w:t>
      </w:r>
    </w:p>
    <w:p>
      <w:pPr>
        <w:pStyle w:val="ListParagraph"/>
        <w:numPr>
          <w:ilvl w:val="0"/>
          <w:numId w:val="2"/>
        </w:numPr>
        <w:spacing w:after="40" w:before="40"/>
      </w:pPr>
      <w:r>
        <w:rPr>
          <w:rFonts w:ascii="Arial" w:cs="Arial" w:eastAsia="Arial" w:hAnsi="Arial"/>
          <w:color w:val="333333"/>
          <w:sz w:val="22"/>
          <w:szCs w:val="22"/>
        </w:rPr>
        <w:t xml:space="preserve">How much buffer stock should each store hold to avoid stockouts without overstocking?</w:t>
      </w:r>
    </w:p>
    <w:p>
      <w:pPr>
        <w:pStyle w:val="ListParagraph"/>
        <w:numPr>
          <w:ilvl w:val="0"/>
          <w:numId w:val="2"/>
        </w:numPr>
        <w:spacing w:after="40" w:before="40"/>
      </w:pPr>
      <w:r>
        <w:rPr>
          <w:rFonts w:ascii="Arial" w:cs="Arial" w:eastAsia="Arial" w:hAnsi="Arial"/>
          <w:color w:val="333333"/>
          <w:sz w:val="22"/>
          <w:szCs w:val="22"/>
        </w:rPr>
        <w:t xml:space="preserve">What is the expected revenue for the next quarter based on historical trends?</w:t>
      </w:r>
    </w:p>
    <w:p>
      <w:pPr>
        <w:pStyle w:val="Heading2"/>
        <w:spacing w:after="120" w:before="280"/>
      </w:pPr>
      <w:r>
        <w:rPr>
          <w:rFonts w:ascii="Arial" w:cs="Arial" w:eastAsia="Arial" w:hAnsi="Arial"/>
          <w:b/>
          <w:bCs/>
          <w:color w:val="13513D"/>
          <w:sz w:val="26"/>
          <w:szCs w:val="26"/>
        </w:rPr>
        <w:t xml:space="preserve">1.3 Why Forecasting Matters for This Role</w:t>
      </w:r>
    </w:p>
    <w:p>
      <w:pPr>
        <w:spacing w:after="80" w:before="80"/>
      </w:pPr>
      <w:r>
        <w:rPr>
          <w:rFonts w:ascii="Arial" w:cs="Arial" w:eastAsia="Arial" w:hAnsi="Arial"/>
          <w:color w:val="333333"/>
          <w:sz w:val="22"/>
          <w:szCs w:val="22"/>
        </w:rPr>
        <w:t xml:space="preserve">Sales forecasting is one of the most commonly tested BA skills in interviews, especially for retail, FMCG, and supply chain roles. It demonstrates that you can work with time-series data, communicate uncertainty to stakeholders, and translate a forecast into an operational recommendation (how much to order, not just a number on a chart).</w:t>
      </w:r>
    </w:p>
    <w:p>
      <w:pPr>
        <w:spacing w:after="80" w:before="80"/>
      </w:pPr>
      <w:r>
        <w:t xml:space="preserve"/>
      </w:r>
    </w:p>
    <w:p>
      <w:pPr>
        <w:shd w:fill="1B6E52" w:val="clear"/>
        <w:spacing w:after="160" w:before="320"/>
        <w:jc w:val="center"/>
      </w:pPr>
      <w:r>
        <w:rPr>
          <w:rFonts w:ascii="Arial" w:cs="Arial" w:eastAsia="Arial" w:hAnsi="Arial"/>
          <w:b/>
          <w:bCs/>
          <w:color w:val="FFFFFF"/>
          <w:sz w:val="24"/>
          <w:szCs w:val="24"/>
        </w:rPr>
        <w:t xml:space="preserve">  PHASE 2 — DATA PREPARATION  </w:t>
      </w:r>
    </w:p>
    <w:p>
      <w:pPr>
        <w:pStyle w:val="Heading1"/>
        <w:pBdr>
          <w:bottom w:val="single" w:color="1B6E52" w:sz="4" w:space="4"/>
        </w:pBdr>
        <w:spacing w:after="160" w:before="360"/>
      </w:pPr>
      <w:r>
        <w:rPr>
          <w:rFonts w:ascii="Arial" w:cs="Arial" w:eastAsia="Arial" w:hAnsi="Arial"/>
          <w:b/>
          <w:bCs/>
          <w:color w:val="1B6E52"/>
          <w:sz w:val="32"/>
          <w:szCs w:val="32"/>
        </w:rPr>
        <w:t xml:space="preserve">2. Dataset &amp; Data Preparation</w:t>
      </w:r>
    </w:p>
    <w:p>
      <w:pPr>
        <w:pStyle w:val="Heading2"/>
        <w:spacing w:after="120" w:before="280"/>
      </w:pPr>
      <w:r>
        <w:rPr>
          <w:rFonts w:ascii="Arial" w:cs="Arial" w:eastAsia="Arial" w:hAnsi="Arial"/>
          <w:b/>
          <w:bCs/>
          <w:color w:val="13513D"/>
          <w:sz w:val="26"/>
          <w:szCs w:val="26"/>
        </w:rPr>
        <w:t xml:space="preserve">2.1 Recommended Dataset</w:t>
      </w:r>
    </w:p>
    <w:p>
      <w:pPr>
        <w:spacing w:after="80" w:before="80"/>
      </w:pPr>
      <w:r>
        <w:rPr>
          <w:rFonts w:ascii="Arial" w:cs="Arial" w:eastAsia="Arial" w:hAnsi="Arial"/>
          <w:color w:val="333333"/>
          <w:sz w:val="22"/>
          <w:szCs w:val="22"/>
        </w:rPr>
        <w:t xml:space="preserve">Use the free 'Store Item Demand Forecasting' dataset from Kaggle, or the 'Rossmann Store Sales' dataset (also Kaggle). Both contain daily sales by store and item over multiple years, which is exactly the structure needed for a retail forecasting model.</w:t>
      </w:r>
    </w:p>
    <w:p>
      <w:pPr>
        <w:pStyle w:val="Heading2"/>
        <w:spacing w:after="120" w:before="280"/>
      </w:pPr>
      <w:r>
        <w:rPr>
          <w:rFonts w:ascii="Arial" w:cs="Arial" w:eastAsia="Arial" w:hAnsi="Arial"/>
          <w:b/>
          <w:bCs/>
          <w:color w:val="13513D"/>
          <w:sz w:val="26"/>
          <w:szCs w:val="26"/>
        </w:rPr>
        <w:t xml:space="preserve">2.2 Required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1B6E52" w:sz="1"/>
              <w:left w:val="single" w:color="1B6E52" w:sz="1"/>
              <w:bottom w:val="single" w:color="1B6E52" w:sz="1"/>
              <w:right w:val="single" w:color="1B6E52" w:sz="1"/>
            </w:tcBorders>
            <w:shd w:fill="1B6E5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1B6E52" w:sz="1"/>
              <w:left w:val="single" w:color="1B6E52" w:sz="1"/>
              <w:bottom w:val="single" w:color="1B6E52" w:sz="1"/>
              <w:right w:val="single" w:color="1B6E52" w:sz="1"/>
            </w:tcBorders>
            <w:shd w:fill="1B6E5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1B6E52" w:sz="1"/>
              <w:left w:val="single" w:color="1B6E52" w:sz="1"/>
              <w:bottom w:val="single" w:color="1B6E52" w:sz="1"/>
              <w:right w:val="single" w:color="1B6E52" w:sz="1"/>
            </w:tcBorders>
            <w:shd w:fill="1B6E52"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3000"/>
            <w:tcBorders>
              <w:top w:val="single" w:color="CCCCCC" w:sz="1"/>
              <w:left w:val="single" w:color="CCCCCC" w:sz="1"/>
              <w:bottom w:val="single" w:color="CCCCCC" w:sz="1"/>
              <w:right w:val="single" w:color="CCCCCC" w:sz="1"/>
            </w:tcBorders>
            <w:shd w:fill="EFF7F3"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2000"/>
            <w:tcBorders>
              <w:top w:val="single" w:color="CCCCCC" w:sz="1"/>
              <w:left w:val="single" w:color="CCCCCC" w:sz="1"/>
              <w:bottom w:val="single" w:color="CCCCCC" w:sz="1"/>
              <w:right w:val="single" w:color="CCCCCC" w:sz="1"/>
            </w:tcBorders>
            <w:shd w:fill="EFF7F3"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4360"/>
            <w:tcBorders>
              <w:top w:val="single" w:color="CCCCCC" w:sz="1"/>
              <w:left w:val="single" w:color="CCCCCC" w:sz="1"/>
              <w:bottom w:val="single" w:color="CCCCCC" w:sz="1"/>
              <w:right w:val="single" w:color="CCCCCC" w:sz="1"/>
            </w:tcBorders>
            <w:shd w:fill="EFF7F3" w:val="clear"/>
            <w:tcMar>
              <w:top w:type="dxa" w:w="80"/>
              <w:left w:type="dxa" w:w="120"/>
              <w:bottom w:type="dxa" w:w="80"/>
              <w:right w:type="dxa" w:w="120"/>
            </w:tcMar>
          </w:tcPr>
          <w:p>
            <w:r>
              <w:rPr>
                <w:rFonts w:ascii="Arial" w:cs="Arial" w:eastAsia="Arial" w:hAnsi="Arial"/>
                <w:color w:val="333333"/>
                <w:sz w:val="20"/>
                <w:szCs w:val="20"/>
              </w:rPr>
              <w:t xml:space="preserve">Time-series index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Number/Text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Segmenting forecast by store</w:t>
            </w:r>
          </w:p>
        </w:tc>
      </w:tr>
      <w:tr>
        <w:tc>
          <w:tcPr>
            <w:tcW w:type="dxa" w:w="3000"/>
            <w:tcBorders>
              <w:top w:val="single" w:color="CCCCCC" w:sz="1"/>
              <w:left w:val="single" w:color="CCCCCC" w:sz="1"/>
              <w:bottom w:val="single" w:color="CCCCCC" w:sz="1"/>
              <w:right w:val="single" w:color="CCCCCC" w:sz="1"/>
            </w:tcBorders>
            <w:shd w:fill="EFF7F3" w:val="clear"/>
            <w:tcMar>
              <w:top w:type="dxa" w:w="80"/>
              <w:left w:type="dxa" w:w="120"/>
              <w:bottom w:type="dxa" w:w="80"/>
              <w:right w:type="dxa" w:w="120"/>
            </w:tcMar>
          </w:tcPr>
          <w:p>
            <w:r>
              <w:rPr>
                <w:rFonts w:ascii="Arial" w:cs="Arial" w:eastAsia="Arial" w:hAnsi="Arial"/>
                <w:color w:val="333333"/>
                <w:sz w:val="20"/>
                <w:szCs w:val="20"/>
              </w:rPr>
              <w:t xml:space="preserve">item / product category</w:t>
            </w:r>
          </w:p>
        </w:tc>
        <w:tc>
          <w:tcPr>
            <w:tcW w:type="dxa" w:w="2000"/>
            <w:tcBorders>
              <w:top w:val="single" w:color="CCCCCC" w:sz="1"/>
              <w:left w:val="single" w:color="CCCCCC" w:sz="1"/>
              <w:bottom w:val="single" w:color="CCCCCC" w:sz="1"/>
              <w:right w:val="single" w:color="CCCCCC" w:sz="1"/>
            </w:tcBorders>
            <w:shd w:fill="EFF7F3"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360"/>
            <w:tcBorders>
              <w:top w:val="single" w:color="CCCCCC" w:sz="1"/>
              <w:left w:val="single" w:color="CCCCCC" w:sz="1"/>
              <w:bottom w:val="single" w:color="CCCCCC" w:sz="1"/>
              <w:right w:val="single" w:color="CCCCCC" w:sz="1"/>
            </w:tcBorders>
            <w:shd w:fill="EFF7F3" w:val="clear"/>
            <w:tcMar>
              <w:top w:type="dxa" w:w="80"/>
              <w:left w:type="dxa" w:w="120"/>
              <w:bottom w:type="dxa" w:w="80"/>
              <w:right w:type="dxa" w:w="120"/>
            </w:tcMar>
          </w:tcPr>
          <w:p>
            <w:r>
              <w:rPr>
                <w:rFonts w:ascii="Arial" w:cs="Arial" w:eastAsia="Arial" w:hAnsi="Arial"/>
                <w:color w:val="333333"/>
                <w:sz w:val="20"/>
                <w:szCs w:val="20"/>
              </w:rPr>
              <w:t xml:space="preserve">Segmenting forecast by product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Target variable to forecast</w:t>
            </w:r>
          </w:p>
        </w:tc>
      </w:tr>
      <w:tr>
        <w:tc>
          <w:tcPr>
            <w:tcW w:type="dxa" w:w="3000"/>
            <w:tcBorders>
              <w:top w:val="single" w:color="CCCCCC" w:sz="1"/>
              <w:left w:val="single" w:color="CCCCCC" w:sz="1"/>
              <w:bottom w:val="single" w:color="CCCCCC" w:sz="1"/>
              <w:right w:val="single" w:color="CCCCCC" w:sz="1"/>
            </w:tcBorders>
            <w:shd w:fill="EFF7F3" w:val="clear"/>
            <w:tcMar>
              <w:top w:type="dxa" w:w="80"/>
              <w:left w:type="dxa" w:w="120"/>
              <w:bottom w:type="dxa" w:w="80"/>
              <w:right w:type="dxa" w:w="120"/>
            </w:tcMar>
          </w:tcPr>
          <w:p>
            <w:r>
              <w:rPr>
                <w:rFonts w:ascii="Arial" w:cs="Arial" w:eastAsia="Arial" w:hAnsi="Arial"/>
                <w:color w:val="333333"/>
                <w:sz w:val="20"/>
                <w:szCs w:val="20"/>
              </w:rPr>
              <w:t xml:space="preserve">promo / holiday flag</w:t>
            </w:r>
          </w:p>
        </w:tc>
        <w:tc>
          <w:tcPr>
            <w:tcW w:type="dxa" w:w="2000"/>
            <w:tcBorders>
              <w:top w:val="single" w:color="CCCCCC" w:sz="1"/>
              <w:left w:val="single" w:color="CCCCCC" w:sz="1"/>
              <w:bottom w:val="single" w:color="CCCCCC" w:sz="1"/>
              <w:right w:val="single" w:color="CCCCCC" w:sz="1"/>
            </w:tcBorders>
            <w:shd w:fill="EFF7F3" w:val="clear"/>
            <w:tcMar>
              <w:top w:type="dxa" w:w="80"/>
              <w:left w:type="dxa" w:w="120"/>
              <w:bottom w:type="dxa" w:w="80"/>
              <w:right w:type="dxa" w:w="120"/>
            </w:tcMar>
          </w:tcPr>
          <w:p>
            <w:r>
              <w:rPr>
                <w:rFonts w:ascii="Arial" w:cs="Arial" w:eastAsia="Arial" w:hAnsi="Arial"/>
                <w:color w:val="333333"/>
                <w:sz w:val="20"/>
                <w:szCs w:val="20"/>
              </w:rPr>
              <w:t xml:space="preserve">Binary</w:t>
            </w:r>
          </w:p>
        </w:tc>
        <w:tc>
          <w:tcPr>
            <w:tcW w:type="dxa" w:w="4360"/>
            <w:tcBorders>
              <w:top w:val="single" w:color="CCCCCC" w:sz="1"/>
              <w:left w:val="single" w:color="CCCCCC" w:sz="1"/>
              <w:bottom w:val="single" w:color="CCCCCC" w:sz="1"/>
              <w:right w:val="single" w:color="CCCCCC" w:sz="1"/>
            </w:tcBorders>
            <w:shd w:fill="EFF7F3" w:val="clear"/>
            <w:tcMar>
              <w:top w:type="dxa" w:w="80"/>
              <w:left w:type="dxa" w:w="120"/>
              <w:bottom w:type="dxa" w:w="80"/>
              <w:right w:type="dxa" w:w="120"/>
            </w:tcMar>
          </w:tcPr>
          <w:p>
            <w:r>
              <w:rPr>
                <w:rFonts w:ascii="Arial" w:cs="Arial" w:eastAsia="Arial" w:hAnsi="Arial"/>
                <w:color w:val="333333"/>
                <w:sz w:val="20"/>
                <w:szCs w:val="20"/>
              </w:rPr>
              <w:t xml:space="preserve">Explaining demand spikes</w:t>
            </w:r>
          </w:p>
        </w:tc>
      </w:tr>
    </w:tbl>
    <w:p>
      <w:pPr>
        <w:spacing w:after="80" w:before="80"/>
      </w:pPr>
      <w:r>
        <w:t xml:space="preserve"/>
      </w:r>
    </w:p>
    <w:p>
      <w:pPr>
        <w:pStyle w:val="Heading2"/>
        <w:spacing w:after="120" w:before="280"/>
      </w:pPr>
      <w:r>
        <w:rPr>
          <w:rFonts w:ascii="Arial" w:cs="Arial" w:eastAsia="Arial" w:hAnsi="Arial"/>
          <w:b/>
          <w:bCs/>
          <w:color w:val="13513D"/>
          <w:sz w:val="26"/>
          <w:szCs w:val="26"/>
        </w:rPr>
        <w:t xml:space="preserve">2.3 Data Cleaning Steps (Python)</w:t>
      </w:r>
    </w:p>
    <w:p>
      <w:pPr>
        <w:pBdr>
          <w:left w:val="single" w:color="1B6E52" w:sz="8" w:space="8"/>
        </w:pBdr>
        <w:shd w:fill="EAF5F0" w:val="clear"/>
        <w:spacing w:after="160" w:before="80"/>
        <w:ind w:left="360"/>
      </w:pPr>
      <w:r>
        <w:rPr>
          <w:rFonts w:ascii="Courier New" w:cs="Courier New" w:eastAsia="Courier New" w:hAnsi="Courier New"/>
          <w:color w:val="0F3D2D"/>
          <w:sz w:val="18"/>
          <w:szCs w:val="18"/>
        </w:rPr>
        <w:t xml:space="preserve">import pandas as pd
df = pd.read_csv('train.csv', parse_dates=['date'])
# Remove rows with missing sales values
df = df.dropna(subset=['sales'])
# Remove days with zero sales due to store closure (not real demand signal)
df = df[df['sales'] &gt; 0]
# Add useful time features
df['day_of_week'] = df['date'].dt.dayofweek
df['month'] = df['date'].dt.month
df['is_weekend'] = df['day_of_week'].isin([5, 6]).astype(int)
print(df.info())</w:t>
      </w:r>
    </w:p>
    <w:p>
      <w:pPr>
        <w:spacing w:after="80" w:before="80"/>
      </w:pPr>
      <w:r>
        <w:t xml:space="preserve"/>
      </w:r>
    </w:p>
    <w:p>
      <w:pPr>
        <w:shd w:fill="1B6E52" w:val="clear"/>
        <w:spacing w:after="160" w:before="320"/>
        <w:jc w:val="center"/>
      </w:pPr>
      <w:r>
        <w:rPr>
          <w:rFonts w:ascii="Arial" w:cs="Arial" w:eastAsia="Arial" w:hAnsi="Arial"/>
          <w:b/>
          <w:bCs/>
          <w:color w:val="FFFFFF"/>
          <w:sz w:val="24"/>
          <w:szCs w:val="24"/>
        </w:rPr>
        <w:t xml:space="preserve">  PHASE 3 — EXPLORATORY ANALYSIS  </w:t>
      </w:r>
    </w:p>
    <w:p>
      <w:pPr>
        <w:pStyle w:val="Heading1"/>
        <w:pBdr>
          <w:bottom w:val="single" w:color="1B6E52" w:sz="4" w:space="4"/>
        </w:pBdr>
        <w:spacing w:after="160" w:before="360"/>
      </w:pPr>
      <w:r>
        <w:rPr>
          <w:rFonts w:ascii="Arial" w:cs="Arial" w:eastAsia="Arial" w:hAnsi="Arial"/>
          <w:b/>
          <w:bCs/>
          <w:color w:val="1B6E52"/>
          <w:sz w:val="32"/>
          <w:szCs w:val="32"/>
        </w:rPr>
        <w:t xml:space="preserve">3. Exploratory Data Analysis (EDA)</w:t>
      </w:r>
    </w:p>
    <w:p>
      <w:pPr>
        <w:pStyle w:val="Heading2"/>
        <w:spacing w:after="120" w:before="280"/>
      </w:pPr>
      <w:r>
        <w:rPr>
          <w:rFonts w:ascii="Arial" w:cs="Arial" w:eastAsia="Arial" w:hAnsi="Arial"/>
          <w:b/>
          <w:bCs/>
          <w:color w:val="13513D"/>
          <w:sz w:val="26"/>
          <w:szCs w:val="26"/>
        </w:rPr>
        <w:t xml:space="preserve">3.1 Key Patterns to Investigate</w:t>
      </w:r>
    </w:p>
    <w:p>
      <w:pPr>
        <w:pStyle w:val="ListParagraph"/>
        <w:numPr>
          <w:ilvl w:val="0"/>
          <w:numId w:val="2"/>
        </w:numPr>
        <w:spacing w:after="40" w:before="40"/>
      </w:pPr>
      <w:r>
        <w:rPr>
          <w:rFonts w:ascii="Arial" w:cs="Arial" w:eastAsia="Arial" w:hAnsi="Arial"/>
          <w:color w:val="333333"/>
          <w:sz w:val="22"/>
          <w:szCs w:val="22"/>
        </w:rPr>
        <w:t xml:space="preserve">Weekly seasonality — are weekend sales consistently higher than weekdays?</w:t>
      </w:r>
    </w:p>
    <w:p>
      <w:pPr>
        <w:pStyle w:val="ListParagraph"/>
        <w:numPr>
          <w:ilvl w:val="0"/>
          <w:numId w:val="2"/>
        </w:numPr>
        <w:spacing w:after="40" w:before="40"/>
      </w:pPr>
      <w:r>
        <w:rPr>
          <w:rFonts w:ascii="Arial" w:cs="Arial" w:eastAsia="Arial" w:hAnsi="Arial"/>
          <w:color w:val="333333"/>
          <w:sz w:val="22"/>
          <w:szCs w:val="22"/>
        </w:rPr>
        <w:t xml:space="preserve">Monthly seasonality — do sales spike around month-end (salary cycles) or festivals?</w:t>
      </w:r>
    </w:p>
    <w:p>
      <w:pPr>
        <w:pStyle w:val="ListParagraph"/>
        <w:numPr>
          <w:ilvl w:val="0"/>
          <w:numId w:val="2"/>
        </w:numPr>
        <w:spacing w:after="40" w:before="40"/>
      </w:pPr>
      <w:r>
        <w:rPr>
          <w:rFonts w:ascii="Arial" w:cs="Arial" w:eastAsia="Arial" w:hAnsi="Arial"/>
          <w:color w:val="333333"/>
          <w:sz w:val="22"/>
          <w:szCs w:val="22"/>
        </w:rPr>
        <w:t xml:space="preserve">Store-level variance — do all stores follow the same pattern, or do some differ significantly?</w:t>
      </w:r>
    </w:p>
    <w:p>
      <w:pPr>
        <w:pStyle w:val="ListParagraph"/>
        <w:numPr>
          <w:ilvl w:val="0"/>
          <w:numId w:val="2"/>
        </w:numPr>
        <w:spacing w:after="40" w:before="40"/>
      </w:pPr>
      <w:r>
        <w:rPr>
          <w:rFonts w:ascii="Arial" w:cs="Arial" w:eastAsia="Arial" w:hAnsi="Arial"/>
          <w:color w:val="333333"/>
          <w:sz w:val="22"/>
          <w:szCs w:val="22"/>
        </w:rPr>
        <w:t xml:space="preserve">Trend — is overall demand growing, flat, or declining year over year?</w:t>
      </w:r>
    </w:p>
    <w:p>
      <w:pPr>
        <w:pStyle w:val="Heading2"/>
        <w:spacing w:after="120" w:before="280"/>
      </w:pPr>
      <w:r>
        <w:rPr>
          <w:rFonts w:ascii="Arial" w:cs="Arial" w:eastAsia="Arial" w:hAnsi="Arial"/>
          <w:b/>
          <w:bCs/>
          <w:color w:val="13513D"/>
          <w:sz w:val="26"/>
          <w:szCs w:val="26"/>
        </w:rPr>
        <w:t xml:space="preserve">3.2 Python Code — Aggregating and Plotting Trends</w:t>
      </w:r>
    </w:p>
    <w:p>
      <w:pPr>
        <w:pBdr>
          <w:left w:val="single" w:color="1B6E52" w:sz="8" w:space="8"/>
        </w:pBdr>
        <w:shd w:fill="EAF5F0" w:val="clear"/>
        <w:spacing w:after="160" w:before="80"/>
        <w:ind w:left="360"/>
      </w:pPr>
      <w:r>
        <w:rPr>
          <w:rFonts w:ascii="Courier New" w:cs="Courier New" w:eastAsia="Courier New" w:hAnsi="Courier New"/>
          <w:color w:val="0F3D2D"/>
          <w:sz w:val="18"/>
          <w:szCs w:val="18"/>
        </w:rPr>
        <w:t xml:space="preserve">import matplotlib.pyplot as plt
# Daily total sales across all stores
daily_sales = df.groupby('date')['sales'].sum().reset_index()
plt.figure(figsize=(12,5))
plt.plot(daily_sales['date'], daily_sales['sales'])
plt.title('GreenLeaf Mart - Daily Total Sales')
plt.xlabel('Date')
plt.ylabel('Sales')
plt.show()
# Average sales by day of week
dow_avg = df.groupby('day_of_week')['sales'].mean()
print(dow_avg)</w:t>
      </w:r>
    </w:p>
    <w:p>
      <w:pPr>
        <w:pStyle w:val="Heading2"/>
        <w:spacing w:after="120" w:before="280"/>
      </w:pPr>
      <w:r>
        <w:rPr>
          <w:rFonts w:ascii="Arial" w:cs="Arial" w:eastAsia="Arial" w:hAnsi="Arial"/>
          <w:b/>
          <w:bCs/>
          <w:color w:val="13513D"/>
          <w:sz w:val="26"/>
          <w:szCs w:val="26"/>
        </w:rPr>
        <w:t xml:space="preserve">3.3 Sample EDA Findings (Hypothetical)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860"/>
      </w:tblGrid>
      <w:tr>
        <w:trPr>
          <w:tblHeader/>
        </w:trPr>
        <w:tc>
          <w:tcPr>
            <w:tcW w:type="dxa" w:w="2600"/>
            <w:tcBorders>
              <w:top w:val="single" w:color="1B6E52" w:sz="1"/>
              <w:left w:val="single" w:color="1B6E52" w:sz="1"/>
              <w:bottom w:val="single" w:color="1B6E52" w:sz="1"/>
              <w:right w:val="single" w:color="1B6E52" w:sz="1"/>
            </w:tcBorders>
            <w:shd w:fill="1B6E52"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2900"/>
            <w:tcBorders>
              <w:top w:val="single" w:color="1B6E52" w:sz="1"/>
              <w:left w:val="single" w:color="1B6E52" w:sz="1"/>
              <w:bottom w:val="single" w:color="1B6E52" w:sz="1"/>
              <w:right w:val="single" w:color="1B6E52" w:sz="1"/>
            </w:tcBorders>
            <w:shd w:fill="1B6E52" w:val="clear"/>
            <w:tcMar>
              <w:top w:type="dxa" w:w="80"/>
              <w:left w:type="dxa" w:w="120"/>
              <w:bottom w:type="dxa" w:w="80"/>
              <w:right w:type="dxa" w:w="120"/>
            </w:tcMar>
          </w:tcPr>
          <w:p>
            <w:r>
              <w:rPr>
                <w:rFonts w:ascii="Arial" w:cs="Arial" w:eastAsia="Arial" w:hAnsi="Arial"/>
                <w:b/>
                <w:bCs/>
                <w:color w:val="FFFFFF"/>
                <w:sz w:val="20"/>
                <w:szCs w:val="20"/>
              </w:rPr>
              <w:t xml:space="preserve">Insight</w:t>
            </w:r>
          </w:p>
        </w:tc>
        <w:tc>
          <w:tcPr>
            <w:tcW w:type="dxa" w:w="2860"/>
            <w:tcBorders>
              <w:top w:val="single" w:color="1B6E52" w:sz="1"/>
              <w:left w:val="single" w:color="1B6E52" w:sz="1"/>
              <w:bottom w:val="single" w:color="1B6E52" w:sz="1"/>
              <w:right w:val="single" w:color="1B6E52" w:sz="1"/>
            </w:tcBorders>
            <w:shd w:fill="1B6E52" w:val="clear"/>
            <w:tcMar>
              <w:top w:type="dxa" w:w="80"/>
              <w:left w:type="dxa" w:w="120"/>
              <w:bottom w:type="dxa" w:w="80"/>
              <w:right w:type="dxa" w:w="120"/>
            </w:tcMar>
          </w:tcPr>
          <w:p>
            <w:r>
              <w:rPr>
                <w:rFonts w:ascii="Arial" w:cs="Arial" w:eastAsia="Arial" w:hAnsi="Arial"/>
                <w:b/>
                <w:bCs/>
                <w:color w:val="FFFFFF"/>
                <w:sz w:val="20"/>
                <w:szCs w:val="20"/>
              </w:rPr>
              <w:t xml:space="preserve">Business Implication</w:t>
            </w:r>
          </w:p>
        </w:tc>
      </w:tr>
      <w:tr>
        <w:tc>
          <w:tcPr>
            <w:tcW w:type="dxa" w:w="2600"/>
            <w:tcBorders>
              <w:top w:val="single" w:color="CCCCCC" w:sz="1"/>
              <w:left w:val="single" w:color="CCCCCC" w:sz="1"/>
              <w:bottom w:val="single" w:color="CCCCCC" w:sz="1"/>
              <w:right w:val="single" w:color="CCCCCC" w:sz="1"/>
            </w:tcBorders>
            <w:shd w:fill="EFF7F3" w:val="clear"/>
            <w:tcMar>
              <w:top w:type="dxa" w:w="80"/>
              <w:left w:type="dxa" w:w="120"/>
              <w:bottom w:type="dxa" w:w="80"/>
              <w:right w:type="dxa" w:w="120"/>
            </w:tcMar>
          </w:tcPr>
          <w:p>
            <w:r>
              <w:rPr>
                <w:rFonts w:ascii="Arial" w:cs="Arial" w:eastAsia="Arial" w:hAnsi="Arial"/>
                <w:color w:val="333333"/>
                <w:sz w:val="20"/>
                <w:szCs w:val="20"/>
              </w:rPr>
              <w:t xml:space="preserve">Weekend sales 35% higher than weekday avg</w:t>
            </w:r>
          </w:p>
        </w:tc>
        <w:tc>
          <w:tcPr>
            <w:tcW w:type="dxa" w:w="2900"/>
            <w:tcBorders>
              <w:top w:val="single" w:color="CCCCCC" w:sz="1"/>
              <w:left w:val="single" w:color="CCCCCC" w:sz="1"/>
              <w:bottom w:val="single" w:color="CCCCCC" w:sz="1"/>
              <w:right w:val="single" w:color="CCCCCC" w:sz="1"/>
            </w:tcBorders>
            <w:shd w:fill="EFF7F3" w:val="clear"/>
            <w:tcMar>
              <w:top w:type="dxa" w:w="80"/>
              <w:left w:type="dxa" w:w="120"/>
              <w:bottom w:type="dxa" w:w="80"/>
              <w:right w:type="dxa" w:w="120"/>
            </w:tcMar>
          </w:tcPr>
          <w:p>
            <w:r>
              <w:rPr>
                <w:rFonts w:ascii="Arial" w:cs="Arial" w:eastAsia="Arial" w:hAnsi="Arial"/>
                <w:color w:val="333333"/>
                <w:sz w:val="20"/>
                <w:szCs w:val="20"/>
              </w:rPr>
              <w:t xml:space="preserve">Saturday and Sunday drive disproportionate revenue</w:t>
            </w:r>
          </w:p>
        </w:tc>
        <w:tc>
          <w:tcPr>
            <w:tcW w:type="dxa" w:w="2860"/>
            <w:tcBorders>
              <w:top w:val="single" w:color="CCCCCC" w:sz="1"/>
              <w:left w:val="single" w:color="CCCCCC" w:sz="1"/>
              <w:bottom w:val="single" w:color="CCCCCC" w:sz="1"/>
              <w:right w:val="single" w:color="CCCCCC" w:sz="1"/>
            </w:tcBorders>
            <w:shd w:fill="EFF7F3" w:val="clear"/>
            <w:tcMar>
              <w:top w:type="dxa" w:w="80"/>
              <w:left w:type="dxa" w:w="120"/>
              <w:bottom w:type="dxa" w:w="80"/>
              <w:right w:type="dxa" w:w="120"/>
            </w:tcMar>
          </w:tcPr>
          <w:p>
            <w:r>
              <w:rPr>
                <w:rFonts w:ascii="Arial" w:cs="Arial" w:eastAsia="Arial" w:hAnsi="Arial"/>
                <w:color w:val="333333"/>
                <w:sz w:val="20"/>
                <w:szCs w:val="20"/>
              </w:rPr>
              <w:t xml:space="preserve">Increase weekend stock allocation by 30%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Sales spike 18% in week before major festivals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Festival demand is predictable, not random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Pre-build festival stock 10 days in advance</w:t>
            </w:r>
          </w:p>
        </w:tc>
      </w:tr>
      <w:tr>
        <w:tc>
          <w:tcPr>
            <w:tcW w:type="dxa" w:w="2600"/>
            <w:tcBorders>
              <w:top w:val="single" w:color="CCCCCC" w:sz="1"/>
              <w:left w:val="single" w:color="CCCCCC" w:sz="1"/>
              <w:bottom w:val="single" w:color="CCCCCC" w:sz="1"/>
              <w:right w:val="single" w:color="CCCCCC" w:sz="1"/>
            </w:tcBorders>
            <w:shd w:fill="EFF7F3" w:val="clear"/>
            <w:tcMar>
              <w:top w:type="dxa" w:w="80"/>
              <w:left w:type="dxa" w:w="120"/>
              <w:bottom w:type="dxa" w:w="80"/>
              <w:right w:type="dxa" w:w="120"/>
            </w:tcMar>
          </w:tcPr>
          <w:p>
            <w:r>
              <w:rPr>
                <w:rFonts w:ascii="Arial" w:cs="Arial" w:eastAsia="Arial" w:hAnsi="Arial"/>
                <w:color w:val="333333"/>
                <w:sz w:val="20"/>
                <w:szCs w:val="20"/>
              </w:rPr>
              <w:t xml:space="preserve">Store 7 has 22% higher variance than other stores</w:t>
            </w:r>
          </w:p>
        </w:tc>
        <w:tc>
          <w:tcPr>
            <w:tcW w:type="dxa" w:w="2900"/>
            <w:tcBorders>
              <w:top w:val="single" w:color="CCCCCC" w:sz="1"/>
              <w:left w:val="single" w:color="CCCCCC" w:sz="1"/>
              <w:bottom w:val="single" w:color="CCCCCC" w:sz="1"/>
              <w:right w:val="single" w:color="CCCCCC" w:sz="1"/>
            </w:tcBorders>
            <w:shd w:fill="EFF7F3" w:val="clear"/>
            <w:tcMar>
              <w:top w:type="dxa" w:w="80"/>
              <w:left w:type="dxa" w:w="120"/>
              <w:bottom w:type="dxa" w:w="80"/>
              <w:right w:type="dxa" w:w="120"/>
            </w:tcMar>
          </w:tcPr>
          <w:p>
            <w:r>
              <w:rPr>
                <w:rFonts w:ascii="Arial" w:cs="Arial" w:eastAsia="Arial" w:hAnsi="Arial"/>
                <w:color w:val="333333"/>
                <w:sz w:val="20"/>
                <w:szCs w:val="20"/>
              </w:rPr>
              <w:t xml:space="preserve">Store 7 likely near a college/market with irregular footfall</w:t>
            </w:r>
          </w:p>
        </w:tc>
        <w:tc>
          <w:tcPr>
            <w:tcW w:type="dxa" w:w="2860"/>
            <w:tcBorders>
              <w:top w:val="single" w:color="CCCCCC" w:sz="1"/>
              <w:left w:val="single" w:color="CCCCCC" w:sz="1"/>
              <w:bottom w:val="single" w:color="CCCCCC" w:sz="1"/>
              <w:right w:val="single" w:color="CCCCCC" w:sz="1"/>
            </w:tcBorders>
            <w:shd w:fill="EFF7F3" w:val="clear"/>
            <w:tcMar>
              <w:top w:type="dxa" w:w="80"/>
              <w:left w:type="dxa" w:w="120"/>
              <w:bottom w:type="dxa" w:w="80"/>
              <w:right w:type="dxa" w:w="120"/>
            </w:tcMar>
          </w:tcPr>
          <w:p>
            <w:r>
              <w:rPr>
                <w:rFonts w:ascii="Arial" w:cs="Arial" w:eastAsia="Arial" w:hAnsi="Arial"/>
                <w:color w:val="333333"/>
                <w:sz w:val="20"/>
                <w:szCs w:val="20"/>
              </w:rPr>
              <w:t xml:space="preserve">Apply a wider safety stock buffer for Store 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Month-end (days 28-30) sales up 15%</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Salary cycle effect on discretionary spending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Plan promotions to run through month-end</w:t>
            </w:r>
          </w:p>
        </w:tc>
      </w:tr>
    </w:tbl>
    <w:p>
      <w:pPr>
        <w:spacing w:after="80" w:before="80"/>
      </w:pPr>
      <w:r>
        <w:t xml:space="preserve"/>
      </w:r>
    </w:p>
    <w:p>
      <w:pPr>
        <w:shd w:fill="1B6E52" w:val="clear"/>
        <w:spacing w:after="160" w:before="320"/>
        <w:jc w:val="center"/>
      </w:pPr>
      <w:r>
        <w:rPr>
          <w:rFonts w:ascii="Arial" w:cs="Arial" w:eastAsia="Arial" w:hAnsi="Arial"/>
          <w:b/>
          <w:bCs/>
          <w:color w:val="FFFFFF"/>
          <w:sz w:val="24"/>
          <w:szCs w:val="24"/>
        </w:rPr>
        <w:t xml:space="preserve">  PHASE 4 — FORECASTING MODEL  </w:t>
      </w:r>
    </w:p>
    <w:p>
      <w:pPr>
        <w:pStyle w:val="Heading1"/>
        <w:pBdr>
          <w:bottom w:val="single" w:color="1B6E52" w:sz="4" w:space="4"/>
        </w:pBdr>
        <w:spacing w:after="160" w:before="360"/>
      </w:pPr>
      <w:r>
        <w:rPr>
          <w:rFonts w:ascii="Arial" w:cs="Arial" w:eastAsia="Arial" w:hAnsi="Arial"/>
          <w:b/>
          <w:bCs/>
          <w:color w:val="1B6E52"/>
          <w:sz w:val="32"/>
          <w:szCs w:val="32"/>
        </w:rPr>
        <w:t xml:space="preserve">4. Building the Forecast</w:t>
      </w:r>
    </w:p>
    <w:p>
      <w:pPr>
        <w:pStyle w:val="Heading2"/>
        <w:spacing w:after="120" w:before="280"/>
      </w:pPr>
      <w:r>
        <w:rPr>
          <w:rFonts w:ascii="Arial" w:cs="Arial" w:eastAsia="Arial" w:hAnsi="Arial"/>
          <w:b/>
          <w:bCs/>
          <w:color w:val="13513D"/>
          <w:sz w:val="26"/>
          <w:szCs w:val="26"/>
        </w:rPr>
        <w:t xml:space="preserve">4.1 Method: Moving Average + Seasonal Adjustment (Beginner-Friendly)</w:t>
      </w:r>
    </w:p>
    <w:p>
      <w:pPr>
        <w:spacing w:after="80" w:before="80"/>
      </w:pPr>
      <w:r>
        <w:rPr>
          <w:rFonts w:ascii="Arial" w:cs="Arial" w:eastAsia="Arial" w:hAnsi="Arial"/>
          <w:color w:val="333333"/>
          <w:sz w:val="22"/>
          <w:szCs w:val="22"/>
        </w:rPr>
        <w:t xml:space="preserve">For a BA portfolio project, a simple, explainable model is better than a complex black-box one — stakeholders need to trust and act on it. We use a 7-day moving average adjusted for day-of-week seasonality, which is easy to explain in an interview and performs well on retail data.</w:t>
      </w:r>
    </w:p>
    <w:p>
      <w:pPr>
        <w:pStyle w:val="Heading2"/>
        <w:spacing w:after="120" w:before="280"/>
      </w:pPr>
      <w:r>
        <w:rPr>
          <w:rFonts w:ascii="Arial" w:cs="Arial" w:eastAsia="Arial" w:hAnsi="Arial"/>
          <w:b/>
          <w:bCs/>
          <w:color w:val="13513D"/>
          <w:sz w:val="26"/>
          <w:szCs w:val="26"/>
        </w:rPr>
        <w:t xml:space="preserve">4.2 Python Code — Simple Forecasting Model</w:t>
      </w:r>
    </w:p>
    <w:p>
      <w:pPr>
        <w:pBdr>
          <w:left w:val="single" w:color="1B6E52" w:sz="8" w:space="8"/>
        </w:pBdr>
        <w:shd w:fill="EAF5F0" w:val="clear"/>
        <w:spacing w:after="160" w:before="80"/>
        <w:ind w:left="360"/>
      </w:pPr>
      <w:r>
        <w:rPr>
          <w:rFonts w:ascii="Courier New" w:cs="Courier New" w:eastAsia="Courier New" w:hAnsi="Courier New"/>
          <w:color w:val="0F3D2D"/>
          <w:sz w:val="18"/>
          <w:szCs w:val="18"/>
        </w:rPr>
        <w:t xml:space="preserve">from statsmodels.tsa.holtwinters import ExponentialSmoothing
ts = daily_sales.set_index('date')['sales']
model = ExponentialSmoothing(
    ts, trend='add', seasonal='add', seasonal_periods=7
).fit()
forecast = model.forecast(30)  # next 30 days
print(forecast.head(10))
plt.figure(figsize=(12,5))
plt.plot(ts.index, ts.values, label='Actual')
plt.plot(forecast.index, forecast.values, label='Forecast', linestyle='--')
plt.legend()
plt.title('30-Day Sales Forecast')
plt.show()</w:t>
      </w:r>
    </w:p>
    <w:p>
      <w:pPr>
        <w:pStyle w:val="Heading2"/>
        <w:spacing w:after="120" w:before="280"/>
      </w:pPr>
      <w:r>
        <w:rPr>
          <w:rFonts w:ascii="Arial" w:cs="Arial" w:eastAsia="Arial" w:hAnsi="Arial"/>
          <w:b/>
          <w:bCs/>
          <w:color w:val="13513D"/>
          <w:sz w:val="26"/>
          <w:szCs w:val="26"/>
        </w:rPr>
        <w:t xml:space="preserve">4.3 Model Validation Approach</w:t>
      </w:r>
    </w:p>
    <w:p>
      <w:pPr>
        <w:pStyle w:val="ListParagraph"/>
        <w:numPr>
          <w:ilvl w:val="0"/>
          <w:numId w:val="2"/>
        </w:numPr>
        <w:spacing w:after="40" w:before="40"/>
      </w:pPr>
      <w:r>
        <w:rPr>
          <w:rFonts w:ascii="Arial" w:cs="Arial" w:eastAsia="Arial" w:hAnsi="Arial"/>
          <w:color w:val="333333"/>
          <w:sz w:val="22"/>
          <w:szCs w:val="22"/>
        </w:rPr>
        <w:t xml:space="preserve">Split data: train on all but the last 30 days, test on the last 30 days.</w:t>
      </w:r>
    </w:p>
    <w:p>
      <w:pPr>
        <w:pStyle w:val="ListParagraph"/>
        <w:numPr>
          <w:ilvl w:val="0"/>
          <w:numId w:val="2"/>
        </w:numPr>
        <w:spacing w:after="40" w:before="40"/>
      </w:pPr>
      <w:r>
        <w:rPr>
          <w:rFonts w:ascii="Arial" w:cs="Arial" w:eastAsia="Arial" w:hAnsi="Arial"/>
          <w:color w:val="333333"/>
          <w:sz w:val="22"/>
          <w:szCs w:val="22"/>
        </w:rPr>
        <w:t xml:space="preserve">Compare forecasted vs actual using MAPE (Mean Absolute Percentage Error).</w:t>
      </w:r>
    </w:p>
    <w:p>
      <w:pPr>
        <w:pStyle w:val="ListParagraph"/>
        <w:numPr>
          <w:ilvl w:val="0"/>
          <w:numId w:val="2"/>
        </w:numPr>
        <w:spacing w:after="40" w:before="40"/>
      </w:pPr>
      <w:r>
        <w:rPr>
          <w:rFonts w:ascii="Arial" w:cs="Arial" w:eastAsia="Arial" w:hAnsi="Arial"/>
          <w:color w:val="333333"/>
          <w:sz w:val="22"/>
          <w:szCs w:val="22"/>
        </w:rPr>
        <w:t xml:space="preserve">Target: MAPE under 15% is considered acceptable for retail demand forecasting.</w:t>
      </w:r>
    </w:p>
    <w:p>
      <w:pPr>
        <w:pBdr>
          <w:left w:val="single" w:color="1B6E52" w:sz="8" w:space="8"/>
        </w:pBdr>
        <w:shd w:fill="EAF5F0" w:val="clear"/>
        <w:spacing w:after="160" w:before="80"/>
        <w:ind w:left="360"/>
      </w:pPr>
      <w:r>
        <w:rPr>
          <w:rFonts w:ascii="Courier New" w:cs="Courier New" w:eastAsia="Courier New" w:hAnsi="Courier New"/>
          <w:color w:val="0F3D2D"/>
          <w:sz w:val="18"/>
          <w:szCs w:val="18"/>
        </w:rPr>
        <w:t xml:space="preserve">from sklearn.metrics import mean_absolute_percentage_error
train = ts[:-30]
test = ts[-30:]
model = ExponentialSmoothing(train, trend='add', seasonal='add', seasonal_periods=7).fit()
pred = model.forecast(30)
mape = mean_absolute_percentage_error(test, pred) * 100
print(f'MAPE: {mape:.2f}%')</w:t>
      </w:r>
    </w:p>
    <w:p>
      <w:pPr>
        <w:spacing w:after="80" w:before="80"/>
      </w:pPr>
      <w:r>
        <w:t xml:space="preserve"/>
      </w:r>
    </w:p>
    <w:p>
      <w:pPr>
        <w:shd w:fill="1B6E52" w:val="clear"/>
        <w:spacing w:after="160" w:before="320"/>
        <w:jc w:val="center"/>
      </w:pPr>
      <w:r>
        <w:rPr>
          <w:rFonts w:ascii="Arial" w:cs="Arial" w:eastAsia="Arial" w:hAnsi="Arial"/>
          <w:b/>
          <w:bCs/>
          <w:color w:val="FFFFFF"/>
          <w:sz w:val="24"/>
          <w:szCs w:val="24"/>
        </w:rPr>
        <w:t xml:space="preserve">  PHASE 5 — INVENTORY RECOMMENDATIONS  </w:t>
      </w:r>
    </w:p>
    <w:p>
      <w:pPr>
        <w:pStyle w:val="Heading1"/>
        <w:pBdr>
          <w:bottom w:val="single" w:color="1B6E52" w:sz="4" w:space="4"/>
        </w:pBdr>
        <w:spacing w:after="160" w:before="360"/>
      </w:pPr>
      <w:r>
        <w:rPr>
          <w:rFonts w:ascii="Arial" w:cs="Arial" w:eastAsia="Arial" w:hAnsi="Arial"/>
          <w:b/>
          <w:bCs/>
          <w:color w:val="1B6E52"/>
          <w:sz w:val="32"/>
          <w:szCs w:val="32"/>
        </w:rPr>
        <w:t xml:space="preserve">5. Translating Forecast into Inventory Decisions</w:t>
      </w:r>
    </w:p>
    <w:p>
      <w:pPr>
        <w:pStyle w:val="Heading2"/>
        <w:spacing w:after="120" w:before="280"/>
      </w:pPr>
      <w:r>
        <w:rPr>
          <w:rFonts w:ascii="Arial" w:cs="Arial" w:eastAsia="Arial" w:hAnsi="Arial"/>
          <w:b/>
          <w:bCs/>
          <w:color w:val="13513D"/>
          <w:sz w:val="26"/>
          <w:szCs w:val="26"/>
        </w:rPr>
        <w:t xml:space="preserve">5.1 Safety Stock Formula</w:t>
      </w:r>
    </w:p>
    <w:p>
      <w:pPr>
        <w:spacing w:after="80" w:before="80"/>
      </w:pPr>
      <w:r>
        <w:rPr>
          <w:rFonts w:ascii="Arial" w:cs="Arial" w:eastAsia="Arial" w:hAnsi="Arial"/>
          <w:color w:val="333333"/>
          <w:sz w:val="22"/>
          <w:szCs w:val="22"/>
        </w:rPr>
        <w:t xml:space="preserve">A forecast alone doesn't tell a store manager how much to order — it must be converted into a reorder recommendation that accounts for demand variability and supplier lead time.</w:t>
      </w:r>
    </w:p>
    <w:p>
      <w:pPr>
        <w:pBdr>
          <w:left w:val="single" w:color="1B6E52" w:sz="8" w:space="8"/>
        </w:pBdr>
        <w:shd w:fill="EAF5F0" w:val="clear"/>
        <w:spacing w:after="160" w:before="80"/>
        <w:ind w:left="360"/>
      </w:pPr>
      <w:r>
        <w:rPr>
          <w:rFonts w:ascii="Courier New" w:cs="Courier New" w:eastAsia="Courier New" w:hAnsi="Courier New"/>
          <w:color w:val="0F3D2D"/>
          <w:sz w:val="18"/>
          <w:szCs w:val="18"/>
        </w:rPr>
        <w:t xml:space="preserve">Safety Stock = Z-score x Std Dev of demand x sqrt(Lead Time in days)
Reorder Point = (Avg Daily Demand x Lead Time) + Safety Stock
Example for a fast-moving item:
  Avg Daily Demand = 120 units
  Std Dev of Demand = 25 units
  Lead Time = 3 days
  Z-score (95% service level) = 1.65
  Safety Stock = 1.65 x 25 x sqrt(3) = 71 units
  Reorder Point = (120 x 3) + 71 = 431 units</w:t>
      </w:r>
    </w:p>
    <w:p>
      <w:pPr>
        <w:pStyle w:val="Heading2"/>
        <w:spacing w:after="120" w:before="280"/>
      </w:pPr>
      <w:r>
        <w:rPr>
          <w:rFonts w:ascii="Arial" w:cs="Arial" w:eastAsia="Arial" w:hAnsi="Arial"/>
          <w:b/>
          <w:bCs/>
          <w:color w:val="13513D"/>
          <w:sz w:val="26"/>
          <w:szCs w:val="26"/>
        </w:rPr>
        <w:t xml:space="preserve">5.2 Sample Reorder Recommendation Table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700"/>
        <w:gridCol w:w="1600"/>
        <w:gridCol w:w="1060"/>
      </w:tblGrid>
      <w:tr>
        <w:trPr>
          <w:tblHeader/>
        </w:trPr>
        <w:tc>
          <w:tcPr>
            <w:tcW w:type="dxa" w:w="2200"/>
            <w:tcBorders>
              <w:top w:val="single" w:color="1B6E52" w:sz="1"/>
              <w:left w:val="single" w:color="1B6E52" w:sz="1"/>
              <w:bottom w:val="single" w:color="1B6E52" w:sz="1"/>
              <w:right w:val="single" w:color="1B6E52" w:sz="1"/>
            </w:tcBorders>
            <w:shd w:fill="1B6E52" w:val="clear"/>
            <w:tcMar>
              <w:top w:type="dxa" w:w="80"/>
              <w:left w:type="dxa" w:w="120"/>
              <w:bottom w:type="dxa" w:w="80"/>
              <w:right w:type="dxa" w:w="120"/>
            </w:tcMar>
          </w:tcPr>
          <w:p>
            <w:r>
              <w:rPr>
                <w:rFonts w:ascii="Arial" w:cs="Arial" w:eastAsia="Arial" w:hAnsi="Arial"/>
                <w:b/>
                <w:bCs/>
                <w:color w:val="FFFFFF"/>
                <w:sz w:val="20"/>
                <w:szCs w:val="20"/>
              </w:rPr>
              <w:t xml:space="preserve">Product Category</w:t>
            </w:r>
          </w:p>
        </w:tc>
        <w:tc>
          <w:tcPr>
            <w:tcW w:type="dxa" w:w="1800"/>
            <w:tcBorders>
              <w:top w:val="single" w:color="1B6E52" w:sz="1"/>
              <w:left w:val="single" w:color="1B6E52" w:sz="1"/>
              <w:bottom w:val="single" w:color="1B6E52" w:sz="1"/>
              <w:right w:val="single" w:color="1B6E52" w:sz="1"/>
            </w:tcBorders>
            <w:shd w:fill="1B6E52" w:val="clear"/>
            <w:tcMar>
              <w:top w:type="dxa" w:w="80"/>
              <w:left w:type="dxa" w:w="120"/>
              <w:bottom w:type="dxa" w:w="80"/>
              <w:right w:type="dxa" w:w="120"/>
            </w:tcMar>
          </w:tcPr>
          <w:p>
            <w:r>
              <w:rPr>
                <w:rFonts w:ascii="Arial" w:cs="Arial" w:eastAsia="Arial" w:hAnsi="Arial"/>
                <w:b/>
                <w:bCs/>
                <w:color w:val="FFFFFF"/>
                <w:sz w:val="20"/>
                <w:szCs w:val="20"/>
              </w:rPr>
              <w:t xml:space="preserve">Avg Daily Demand</w:t>
            </w:r>
          </w:p>
        </w:tc>
        <w:tc>
          <w:tcPr>
            <w:tcW w:type="dxa" w:w="1700"/>
            <w:tcBorders>
              <w:top w:val="single" w:color="1B6E52" w:sz="1"/>
              <w:left w:val="single" w:color="1B6E52" w:sz="1"/>
              <w:bottom w:val="single" w:color="1B6E52" w:sz="1"/>
              <w:right w:val="single" w:color="1B6E52" w:sz="1"/>
            </w:tcBorders>
            <w:shd w:fill="1B6E52" w:val="clear"/>
            <w:tcMar>
              <w:top w:type="dxa" w:w="80"/>
              <w:left w:type="dxa" w:w="120"/>
              <w:bottom w:type="dxa" w:w="80"/>
              <w:right w:type="dxa" w:w="120"/>
            </w:tcMar>
          </w:tcPr>
          <w:p>
            <w:r>
              <w:rPr>
                <w:rFonts w:ascii="Arial" w:cs="Arial" w:eastAsia="Arial" w:hAnsi="Arial"/>
                <w:b/>
                <w:bCs/>
                <w:color w:val="FFFFFF"/>
                <w:sz w:val="20"/>
                <w:szCs w:val="20"/>
              </w:rPr>
              <w:t xml:space="preserve">Lead Time (days)</w:t>
            </w:r>
          </w:p>
        </w:tc>
        <w:tc>
          <w:tcPr>
            <w:tcW w:type="dxa" w:w="1600"/>
            <w:tcBorders>
              <w:top w:val="single" w:color="1B6E52" w:sz="1"/>
              <w:left w:val="single" w:color="1B6E52" w:sz="1"/>
              <w:bottom w:val="single" w:color="1B6E52" w:sz="1"/>
              <w:right w:val="single" w:color="1B6E52" w:sz="1"/>
            </w:tcBorders>
            <w:shd w:fill="1B6E52" w:val="clear"/>
            <w:tcMar>
              <w:top w:type="dxa" w:w="80"/>
              <w:left w:type="dxa" w:w="120"/>
              <w:bottom w:type="dxa" w:w="80"/>
              <w:right w:type="dxa" w:w="120"/>
            </w:tcMar>
          </w:tcPr>
          <w:p>
            <w:r>
              <w:rPr>
                <w:rFonts w:ascii="Arial" w:cs="Arial" w:eastAsia="Arial" w:hAnsi="Arial"/>
                <w:b/>
                <w:bCs/>
                <w:color w:val="FFFFFF"/>
                <w:sz w:val="20"/>
                <w:szCs w:val="20"/>
              </w:rPr>
              <w:t xml:space="preserve">Safety Stock</w:t>
            </w:r>
          </w:p>
        </w:tc>
        <w:tc>
          <w:tcPr>
            <w:tcW w:type="dxa" w:w="1060"/>
            <w:tcBorders>
              <w:top w:val="single" w:color="1B6E52" w:sz="1"/>
              <w:left w:val="single" w:color="1B6E52" w:sz="1"/>
              <w:bottom w:val="single" w:color="1B6E52" w:sz="1"/>
              <w:right w:val="single" w:color="1B6E52" w:sz="1"/>
            </w:tcBorders>
            <w:shd w:fill="1B6E52" w:val="clear"/>
            <w:tcMar>
              <w:top w:type="dxa" w:w="80"/>
              <w:left w:type="dxa" w:w="120"/>
              <w:bottom w:type="dxa" w:w="80"/>
              <w:right w:type="dxa" w:w="120"/>
            </w:tcMar>
          </w:tcPr>
          <w:p>
            <w:r>
              <w:rPr>
                <w:rFonts w:ascii="Arial" w:cs="Arial" w:eastAsia="Arial" w:hAnsi="Arial"/>
                <w:b/>
                <w:bCs/>
                <w:color w:val="FFFFFF"/>
                <w:sz w:val="20"/>
                <w:szCs w:val="20"/>
              </w:rPr>
              <w:t xml:space="preserve">Reorder Point</w:t>
            </w:r>
          </w:p>
        </w:tc>
      </w:tr>
      <w:tr>
        <w:tc>
          <w:tcPr>
            <w:tcW w:type="dxa" w:w="2200"/>
            <w:tcBorders>
              <w:top w:val="single" w:color="CCCCCC" w:sz="1"/>
              <w:left w:val="single" w:color="CCCCCC" w:sz="1"/>
              <w:bottom w:val="single" w:color="CCCCCC" w:sz="1"/>
              <w:right w:val="single" w:color="CCCCCC" w:sz="1"/>
            </w:tcBorders>
            <w:shd w:fill="EFF7F3" w:val="clear"/>
            <w:tcMar>
              <w:top w:type="dxa" w:w="80"/>
              <w:left w:type="dxa" w:w="120"/>
              <w:bottom w:type="dxa" w:w="80"/>
              <w:right w:type="dxa" w:w="120"/>
            </w:tcMar>
          </w:tcPr>
          <w:p>
            <w:r>
              <w:rPr>
                <w:rFonts w:ascii="Arial" w:cs="Arial" w:eastAsia="Arial" w:hAnsi="Arial"/>
                <w:color w:val="333333"/>
                <w:sz w:val="20"/>
                <w:szCs w:val="20"/>
              </w:rPr>
              <w:t xml:space="preserve">Dairy &amp; Bakery</w:t>
            </w:r>
          </w:p>
        </w:tc>
        <w:tc>
          <w:tcPr>
            <w:tcW w:type="dxa" w:w="1800"/>
            <w:tcBorders>
              <w:top w:val="single" w:color="CCCCCC" w:sz="1"/>
              <w:left w:val="single" w:color="CCCCCC" w:sz="1"/>
              <w:bottom w:val="single" w:color="CCCCCC" w:sz="1"/>
              <w:right w:val="single" w:color="CCCCCC" w:sz="1"/>
            </w:tcBorders>
            <w:shd w:fill="EFF7F3" w:val="clear"/>
            <w:tcMar>
              <w:top w:type="dxa" w:w="80"/>
              <w:left w:type="dxa" w:w="120"/>
              <w:bottom w:type="dxa" w:w="80"/>
              <w:right w:type="dxa" w:w="120"/>
            </w:tcMar>
          </w:tcPr>
          <w:p>
            <w:r>
              <w:rPr>
                <w:rFonts w:ascii="Arial" w:cs="Arial" w:eastAsia="Arial" w:hAnsi="Arial"/>
                <w:color w:val="333333"/>
                <w:sz w:val="20"/>
                <w:szCs w:val="20"/>
              </w:rPr>
              <w:t xml:space="preserve">320 units</w:t>
            </w:r>
          </w:p>
        </w:tc>
        <w:tc>
          <w:tcPr>
            <w:tcW w:type="dxa" w:w="1700"/>
            <w:tcBorders>
              <w:top w:val="single" w:color="CCCCCC" w:sz="1"/>
              <w:left w:val="single" w:color="CCCCCC" w:sz="1"/>
              <w:bottom w:val="single" w:color="CCCCCC" w:sz="1"/>
              <w:right w:val="single" w:color="CCCCCC" w:sz="1"/>
            </w:tcBorders>
            <w:shd w:fill="EFF7F3"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EFF7F3" w:val="clear"/>
            <w:tcMar>
              <w:top w:type="dxa" w:w="80"/>
              <w:left w:type="dxa" w:w="120"/>
              <w:bottom w:type="dxa" w:w="80"/>
              <w:right w:type="dxa" w:w="120"/>
            </w:tcMar>
          </w:tcPr>
          <w:p>
            <w:r>
              <w:rPr>
                <w:rFonts w:ascii="Arial" w:cs="Arial" w:eastAsia="Arial" w:hAnsi="Arial"/>
                <w:color w:val="333333"/>
                <w:sz w:val="20"/>
                <w:szCs w:val="20"/>
              </w:rPr>
              <w:t xml:space="preserve">45 units</w:t>
            </w:r>
          </w:p>
        </w:tc>
        <w:tc>
          <w:tcPr>
            <w:tcW w:type="dxa" w:w="1060"/>
            <w:tcBorders>
              <w:top w:val="single" w:color="CCCCCC" w:sz="1"/>
              <w:left w:val="single" w:color="CCCCCC" w:sz="1"/>
              <w:bottom w:val="single" w:color="CCCCCC" w:sz="1"/>
              <w:right w:val="single" w:color="CCCCCC" w:sz="1"/>
            </w:tcBorders>
            <w:shd w:fill="EFF7F3" w:val="clear"/>
            <w:tcMar>
              <w:top w:type="dxa" w:w="80"/>
              <w:left w:type="dxa" w:w="120"/>
              <w:bottom w:type="dxa" w:w="80"/>
              <w:right w:type="dxa" w:w="120"/>
            </w:tcMar>
          </w:tcPr>
          <w:p>
            <w:r>
              <w:rPr>
                <w:rFonts w:ascii="Arial" w:cs="Arial" w:eastAsia="Arial" w:hAnsi="Arial"/>
                <w:color w:val="333333"/>
                <w:sz w:val="20"/>
                <w:szCs w:val="20"/>
              </w:rPr>
              <w:t xml:space="preserve">365 units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Packaged Snacks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210 units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85 units</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715 units</w:t>
            </w:r>
          </w:p>
        </w:tc>
      </w:tr>
      <w:tr>
        <w:tc>
          <w:tcPr>
            <w:tcW w:type="dxa" w:w="2200"/>
            <w:tcBorders>
              <w:top w:val="single" w:color="CCCCCC" w:sz="1"/>
              <w:left w:val="single" w:color="CCCCCC" w:sz="1"/>
              <w:bottom w:val="single" w:color="CCCCCC" w:sz="1"/>
              <w:right w:val="single" w:color="CCCCCC" w:sz="1"/>
            </w:tcBorders>
            <w:shd w:fill="EFF7F3" w:val="clear"/>
            <w:tcMar>
              <w:top w:type="dxa" w:w="80"/>
              <w:left w:type="dxa" w:w="120"/>
              <w:bottom w:type="dxa" w:w="80"/>
              <w:right w:type="dxa" w:w="120"/>
            </w:tcMar>
          </w:tcPr>
          <w:p>
            <w:r>
              <w:rPr>
                <w:rFonts w:ascii="Arial" w:cs="Arial" w:eastAsia="Arial" w:hAnsi="Arial"/>
                <w:color w:val="333333"/>
                <w:sz w:val="20"/>
                <w:szCs w:val="20"/>
              </w:rPr>
              <w:t xml:space="preserve">Household Cleaning</w:t>
            </w:r>
          </w:p>
        </w:tc>
        <w:tc>
          <w:tcPr>
            <w:tcW w:type="dxa" w:w="1800"/>
            <w:tcBorders>
              <w:top w:val="single" w:color="CCCCCC" w:sz="1"/>
              <w:left w:val="single" w:color="CCCCCC" w:sz="1"/>
              <w:bottom w:val="single" w:color="CCCCCC" w:sz="1"/>
              <w:right w:val="single" w:color="CCCCCC" w:sz="1"/>
            </w:tcBorders>
            <w:shd w:fill="EFF7F3" w:val="clear"/>
            <w:tcMar>
              <w:top w:type="dxa" w:w="80"/>
              <w:left w:type="dxa" w:w="120"/>
              <w:bottom w:type="dxa" w:w="80"/>
              <w:right w:type="dxa" w:w="120"/>
            </w:tcMar>
          </w:tcPr>
          <w:p>
            <w:r>
              <w:rPr>
                <w:rFonts w:ascii="Arial" w:cs="Arial" w:eastAsia="Arial" w:hAnsi="Arial"/>
                <w:color w:val="333333"/>
                <w:sz w:val="20"/>
                <w:szCs w:val="20"/>
              </w:rPr>
              <w:t xml:space="preserve">95 units</w:t>
            </w:r>
          </w:p>
        </w:tc>
        <w:tc>
          <w:tcPr>
            <w:tcW w:type="dxa" w:w="1700"/>
            <w:tcBorders>
              <w:top w:val="single" w:color="CCCCCC" w:sz="1"/>
              <w:left w:val="single" w:color="CCCCCC" w:sz="1"/>
              <w:bottom w:val="single" w:color="CCCCCC" w:sz="1"/>
              <w:right w:val="single" w:color="CCCCCC" w:sz="1"/>
            </w:tcBorders>
            <w:shd w:fill="EFF7F3"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1600"/>
            <w:tcBorders>
              <w:top w:val="single" w:color="CCCCCC" w:sz="1"/>
              <w:left w:val="single" w:color="CCCCCC" w:sz="1"/>
              <w:bottom w:val="single" w:color="CCCCCC" w:sz="1"/>
              <w:right w:val="single" w:color="CCCCCC" w:sz="1"/>
            </w:tcBorders>
            <w:shd w:fill="EFF7F3" w:val="clear"/>
            <w:tcMar>
              <w:top w:type="dxa" w:w="80"/>
              <w:left w:type="dxa" w:w="120"/>
              <w:bottom w:type="dxa" w:w="80"/>
              <w:right w:type="dxa" w:w="120"/>
            </w:tcMar>
          </w:tcPr>
          <w:p>
            <w:r>
              <w:rPr>
                <w:rFonts w:ascii="Arial" w:cs="Arial" w:eastAsia="Arial" w:hAnsi="Arial"/>
                <w:color w:val="333333"/>
                <w:sz w:val="20"/>
                <w:szCs w:val="20"/>
              </w:rPr>
              <w:t xml:space="preserve">60 units</w:t>
            </w:r>
          </w:p>
        </w:tc>
        <w:tc>
          <w:tcPr>
            <w:tcW w:type="dxa" w:w="1060"/>
            <w:tcBorders>
              <w:top w:val="single" w:color="CCCCCC" w:sz="1"/>
              <w:left w:val="single" w:color="CCCCCC" w:sz="1"/>
              <w:bottom w:val="single" w:color="CCCCCC" w:sz="1"/>
              <w:right w:val="single" w:color="CCCCCC" w:sz="1"/>
            </w:tcBorders>
            <w:shd w:fill="EFF7F3" w:val="clear"/>
            <w:tcMar>
              <w:top w:type="dxa" w:w="80"/>
              <w:left w:type="dxa" w:w="120"/>
              <w:bottom w:type="dxa" w:w="80"/>
              <w:right w:type="dxa" w:w="120"/>
            </w:tcMar>
          </w:tcPr>
          <w:p>
            <w:r>
              <w:rPr>
                <w:rFonts w:ascii="Arial" w:cs="Arial" w:eastAsia="Arial" w:hAnsi="Arial"/>
                <w:color w:val="333333"/>
                <w:sz w:val="20"/>
                <w:szCs w:val="20"/>
              </w:rPr>
              <w:t xml:space="preserve">535 units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Beverages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180 units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55 units</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415 units</w:t>
            </w:r>
          </w:p>
        </w:tc>
      </w:tr>
    </w:tbl>
    <w:p>
      <w:pPr>
        <w:spacing w:after="80" w:before="80"/>
      </w:pPr>
      <w:r>
        <w:t xml:space="preserve"/>
      </w:r>
    </w:p>
    <w:p>
      <w:pPr>
        <w:shd w:fill="1B6E52" w:val="clear"/>
        <w:spacing w:after="160" w:before="320"/>
        <w:jc w:val="center"/>
      </w:pPr>
      <w:r>
        <w:rPr>
          <w:rFonts w:ascii="Arial" w:cs="Arial" w:eastAsia="Arial" w:hAnsi="Arial"/>
          <w:b/>
          <w:bCs/>
          <w:color w:val="FFFFFF"/>
          <w:sz w:val="24"/>
          <w:szCs w:val="24"/>
        </w:rPr>
        <w:t xml:space="preserve">  PHASE 6 — DASHBOARD &amp; REPORTING  </w:t>
      </w:r>
    </w:p>
    <w:p>
      <w:pPr>
        <w:pStyle w:val="Heading1"/>
        <w:pBdr>
          <w:bottom w:val="single" w:color="1B6E52" w:sz="4" w:space="4"/>
        </w:pBdr>
        <w:spacing w:after="160" w:before="360"/>
      </w:pPr>
      <w:r>
        <w:rPr>
          <w:rFonts w:ascii="Arial" w:cs="Arial" w:eastAsia="Arial" w:hAnsi="Arial"/>
          <w:b/>
          <w:bCs/>
          <w:color w:val="1B6E52"/>
          <w:sz w:val="32"/>
          <w:szCs w:val="32"/>
        </w:rPr>
        <w:t xml:space="preserve">6. Dashboard Specification</w:t>
      </w:r>
    </w:p>
    <w:p>
      <w:pPr>
        <w:pStyle w:val="Heading2"/>
        <w:spacing w:after="120" w:before="280"/>
      </w:pPr>
      <w:r>
        <w:rPr>
          <w:rFonts w:ascii="Arial" w:cs="Arial" w:eastAsia="Arial" w:hAnsi="Arial"/>
          <w:b/>
          <w:bCs/>
          <w:color w:val="13513D"/>
          <w:sz w:val="26"/>
          <w:szCs w:val="26"/>
        </w:rPr>
        <w:t xml:space="preserve">6.1 Power BI / Excel Dashboard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B6E52" w:sz="1"/>
              <w:left w:val="single" w:color="1B6E52" w:sz="1"/>
              <w:bottom w:val="single" w:color="1B6E52" w:sz="1"/>
              <w:right w:val="single" w:color="1B6E52" w:sz="1"/>
            </w:tcBorders>
            <w:shd w:fill="1B6E52" w:val="clear"/>
            <w:tcMar>
              <w:top w:type="dxa" w:w="80"/>
              <w:left w:type="dxa" w:w="120"/>
              <w:bottom w:type="dxa" w:w="80"/>
              <w:right w:type="dxa" w:w="120"/>
            </w:tcMar>
          </w:tcPr>
          <w:p>
            <w:r>
              <w:rPr>
                <w:rFonts w:ascii="Arial" w:cs="Arial" w:eastAsia="Arial" w:hAnsi="Arial"/>
                <w:b/>
                <w:bCs/>
                <w:color w:val="FFFFFF"/>
                <w:sz w:val="20"/>
                <w:szCs w:val="20"/>
              </w:rPr>
              <w:t xml:space="preserve">Visual</w:t>
            </w:r>
          </w:p>
        </w:tc>
        <w:tc>
          <w:tcPr>
            <w:tcW w:type="dxa" w:w="1800"/>
            <w:tcBorders>
              <w:top w:val="single" w:color="1B6E52" w:sz="1"/>
              <w:left w:val="single" w:color="1B6E52" w:sz="1"/>
              <w:bottom w:val="single" w:color="1B6E52" w:sz="1"/>
              <w:right w:val="single" w:color="1B6E52" w:sz="1"/>
            </w:tcBorders>
            <w:shd w:fill="1B6E52" w:val="clear"/>
            <w:tcMar>
              <w:top w:type="dxa" w:w="80"/>
              <w:left w:type="dxa" w:w="120"/>
              <w:bottom w:type="dxa" w:w="80"/>
              <w:right w:type="dxa" w:w="120"/>
            </w:tcMar>
          </w:tcPr>
          <w:p>
            <w:r>
              <w:rPr>
                <w:rFonts w:ascii="Arial" w:cs="Arial" w:eastAsia="Arial" w:hAnsi="Arial"/>
                <w:b/>
                <w:bCs/>
                <w:color w:val="FFFFFF"/>
                <w:sz w:val="20"/>
                <w:szCs w:val="20"/>
              </w:rPr>
              <w:t xml:space="preserve">Chart Type</w:t>
            </w:r>
          </w:p>
        </w:tc>
        <w:tc>
          <w:tcPr>
            <w:tcW w:type="dxa" w:w="5360"/>
            <w:tcBorders>
              <w:top w:val="single" w:color="1B6E52" w:sz="1"/>
              <w:left w:val="single" w:color="1B6E52" w:sz="1"/>
              <w:bottom w:val="single" w:color="1B6E52" w:sz="1"/>
              <w:right w:val="single" w:color="1B6E52" w:sz="1"/>
            </w:tcBorders>
            <w:shd w:fill="1B6E5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EFF7F3" w:val="clear"/>
            <w:tcMar>
              <w:top w:type="dxa" w:w="80"/>
              <w:left w:type="dxa" w:w="120"/>
              <w:bottom w:type="dxa" w:w="80"/>
              <w:right w:type="dxa" w:w="120"/>
            </w:tcMar>
          </w:tcPr>
          <w:p>
            <w:r>
              <w:rPr>
                <w:rFonts w:ascii="Arial" w:cs="Arial" w:eastAsia="Arial" w:hAnsi="Arial"/>
                <w:color w:val="333333"/>
                <w:sz w:val="20"/>
                <w:szCs w:val="20"/>
              </w:rPr>
              <w:t xml:space="preserve">Actual vs Forecast</w:t>
            </w:r>
          </w:p>
        </w:tc>
        <w:tc>
          <w:tcPr>
            <w:tcW w:type="dxa" w:w="1800"/>
            <w:tcBorders>
              <w:top w:val="single" w:color="CCCCCC" w:sz="1"/>
              <w:left w:val="single" w:color="CCCCCC" w:sz="1"/>
              <w:bottom w:val="single" w:color="CCCCCC" w:sz="1"/>
              <w:right w:val="single" w:color="CCCCCC" w:sz="1"/>
            </w:tcBorders>
            <w:shd w:fill="EFF7F3" w:val="clear"/>
            <w:tcMar>
              <w:top w:type="dxa" w:w="80"/>
              <w:left w:type="dxa" w:w="120"/>
              <w:bottom w:type="dxa" w:w="80"/>
              <w:right w:type="dxa" w:w="120"/>
            </w:tcMar>
          </w:tcPr>
          <w:p>
            <w:r>
              <w:rPr>
                <w:rFonts w:ascii="Arial" w:cs="Arial" w:eastAsia="Arial" w:hAnsi="Arial"/>
                <w:color w:val="333333"/>
                <w:sz w:val="20"/>
                <w:szCs w:val="20"/>
              </w:rPr>
              <w:t xml:space="preserve">Line chart</w:t>
            </w:r>
          </w:p>
        </w:tc>
        <w:tc>
          <w:tcPr>
            <w:tcW w:type="dxa" w:w="5360"/>
            <w:tcBorders>
              <w:top w:val="single" w:color="CCCCCC" w:sz="1"/>
              <w:left w:val="single" w:color="CCCCCC" w:sz="1"/>
              <w:bottom w:val="single" w:color="CCCCCC" w:sz="1"/>
              <w:right w:val="single" w:color="CCCCCC" w:sz="1"/>
            </w:tcBorders>
            <w:shd w:fill="EFF7F3" w:val="clear"/>
            <w:tcMar>
              <w:top w:type="dxa" w:w="80"/>
              <w:left w:type="dxa" w:w="120"/>
              <w:bottom w:type="dxa" w:w="80"/>
              <w:right w:type="dxa" w:w="120"/>
            </w:tcMar>
          </w:tcPr>
          <w:p>
            <w:r>
              <w:rPr>
                <w:rFonts w:ascii="Arial" w:cs="Arial" w:eastAsia="Arial" w:hAnsi="Arial"/>
                <w:color w:val="333333"/>
                <w:sz w:val="20"/>
                <w:szCs w:val="20"/>
              </w:rPr>
              <w:t xml:space="preserve">Show forecast accuracy over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Sales by Day of Week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Bar chart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Highlight weekend seasonality</w:t>
            </w:r>
          </w:p>
        </w:tc>
      </w:tr>
      <w:tr>
        <w:tc>
          <w:tcPr>
            <w:tcW w:type="dxa" w:w="2200"/>
            <w:tcBorders>
              <w:top w:val="single" w:color="CCCCCC" w:sz="1"/>
              <w:left w:val="single" w:color="CCCCCC" w:sz="1"/>
              <w:bottom w:val="single" w:color="CCCCCC" w:sz="1"/>
              <w:right w:val="single" w:color="CCCCCC" w:sz="1"/>
            </w:tcBorders>
            <w:shd w:fill="EFF7F3" w:val="clear"/>
            <w:tcMar>
              <w:top w:type="dxa" w:w="80"/>
              <w:left w:type="dxa" w:w="120"/>
              <w:bottom w:type="dxa" w:w="80"/>
              <w:right w:type="dxa" w:w="120"/>
            </w:tcMar>
          </w:tcPr>
          <w:p>
            <w:r>
              <w:rPr>
                <w:rFonts w:ascii="Arial" w:cs="Arial" w:eastAsia="Arial" w:hAnsi="Arial"/>
                <w:color w:val="333333"/>
                <w:sz w:val="20"/>
                <w:szCs w:val="20"/>
              </w:rPr>
              <w:t xml:space="preserve">Store-Level Variance</w:t>
            </w:r>
          </w:p>
        </w:tc>
        <w:tc>
          <w:tcPr>
            <w:tcW w:type="dxa" w:w="1800"/>
            <w:tcBorders>
              <w:top w:val="single" w:color="CCCCCC" w:sz="1"/>
              <w:left w:val="single" w:color="CCCCCC" w:sz="1"/>
              <w:bottom w:val="single" w:color="CCCCCC" w:sz="1"/>
              <w:right w:val="single" w:color="CCCCCC" w:sz="1"/>
            </w:tcBorders>
            <w:shd w:fill="EFF7F3" w:val="clear"/>
            <w:tcMar>
              <w:top w:type="dxa" w:w="80"/>
              <w:left w:type="dxa" w:w="120"/>
              <w:bottom w:type="dxa" w:w="80"/>
              <w:right w:type="dxa" w:w="120"/>
            </w:tcMar>
          </w:tcPr>
          <w:p>
            <w:r>
              <w:rPr>
                <w:rFonts w:ascii="Arial" w:cs="Arial" w:eastAsia="Arial" w:hAnsi="Arial"/>
                <w:color w:val="333333"/>
                <w:sz w:val="20"/>
                <w:szCs w:val="20"/>
              </w:rPr>
              <w:t xml:space="preserve">Box plot / bar</w:t>
            </w:r>
          </w:p>
        </w:tc>
        <w:tc>
          <w:tcPr>
            <w:tcW w:type="dxa" w:w="5360"/>
            <w:tcBorders>
              <w:top w:val="single" w:color="CCCCCC" w:sz="1"/>
              <w:left w:val="single" w:color="CCCCCC" w:sz="1"/>
              <w:bottom w:val="single" w:color="CCCCCC" w:sz="1"/>
              <w:right w:val="single" w:color="CCCCCC" w:sz="1"/>
            </w:tcBorders>
            <w:shd w:fill="EFF7F3" w:val="clear"/>
            <w:tcMar>
              <w:top w:type="dxa" w:w="80"/>
              <w:left w:type="dxa" w:w="120"/>
              <w:bottom w:type="dxa" w:w="80"/>
              <w:right w:type="dxa" w:w="120"/>
            </w:tcMar>
          </w:tcPr>
          <w:p>
            <w:r>
              <w:rPr>
                <w:rFonts w:ascii="Arial" w:cs="Arial" w:eastAsia="Arial" w:hAnsi="Arial"/>
                <w:color w:val="333333"/>
                <w:sz w:val="20"/>
                <w:szCs w:val="20"/>
              </w:rPr>
              <w:t xml:space="preserve">Identify high-variance stores needing buffer stock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Reorder Point Table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Table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Give store managers actionable reorder numbers</w:t>
            </w:r>
          </w:p>
        </w:tc>
      </w:tr>
      <w:tr>
        <w:tc>
          <w:tcPr>
            <w:tcW w:type="dxa" w:w="2200"/>
            <w:tcBorders>
              <w:top w:val="single" w:color="CCCCCC" w:sz="1"/>
              <w:left w:val="single" w:color="CCCCCC" w:sz="1"/>
              <w:bottom w:val="single" w:color="CCCCCC" w:sz="1"/>
              <w:right w:val="single" w:color="CCCCCC" w:sz="1"/>
            </w:tcBorders>
            <w:shd w:fill="EFF7F3" w:val="clear"/>
            <w:tcMar>
              <w:top w:type="dxa" w:w="80"/>
              <w:left w:type="dxa" w:w="120"/>
              <w:bottom w:type="dxa" w:w="80"/>
              <w:right w:type="dxa" w:w="120"/>
            </w:tcMar>
          </w:tcPr>
          <w:p>
            <w:r>
              <w:rPr>
                <w:rFonts w:ascii="Arial" w:cs="Arial" w:eastAsia="Arial" w:hAnsi="Arial"/>
                <w:color w:val="333333"/>
                <w:sz w:val="20"/>
                <w:szCs w:val="20"/>
              </w:rPr>
              <w:t xml:space="preserve">MAPE Tracker</w:t>
            </w:r>
          </w:p>
        </w:tc>
        <w:tc>
          <w:tcPr>
            <w:tcW w:type="dxa" w:w="1800"/>
            <w:tcBorders>
              <w:top w:val="single" w:color="CCCCCC" w:sz="1"/>
              <w:left w:val="single" w:color="CCCCCC" w:sz="1"/>
              <w:bottom w:val="single" w:color="CCCCCC" w:sz="1"/>
              <w:right w:val="single" w:color="CCCCCC" w:sz="1"/>
            </w:tcBorders>
            <w:shd w:fill="EFF7F3" w:val="clear"/>
            <w:tcMar>
              <w:top w:type="dxa" w:w="80"/>
              <w:left w:type="dxa" w:w="120"/>
              <w:bottom w:type="dxa" w:w="80"/>
              <w:right w:type="dxa" w:w="120"/>
            </w:tcMar>
          </w:tcPr>
          <w:p>
            <w:r>
              <w:rPr>
                <w:rFonts w:ascii="Arial" w:cs="Arial" w:eastAsia="Arial" w:hAnsi="Arial"/>
                <w:color w:val="333333"/>
                <w:sz w:val="20"/>
                <w:szCs w:val="20"/>
              </w:rPr>
              <w:t xml:space="preserve">KPI card</w:t>
            </w:r>
          </w:p>
        </w:tc>
        <w:tc>
          <w:tcPr>
            <w:tcW w:type="dxa" w:w="5360"/>
            <w:tcBorders>
              <w:top w:val="single" w:color="CCCCCC" w:sz="1"/>
              <w:left w:val="single" w:color="CCCCCC" w:sz="1"/>
              <w:bottom w:val="single" w:color="CCCCCC" w:sz="1"/>
              <w:right w:val="single" w:color="CCCCCC" w:sz="1"/>
            </w:tcBorders>
            <w:shd w:fill="EFF7F3" w:val="clear"/>
            <w:tcMar>
              <w:top w:type="dxa" w:w="80"/>
              <w:left w:type="dxa" w:w="120"/>
              <w:bottom w:type="dxa" w:w="80"/>
              <w:right w:type="dxa" w:w="120"/>
            </w:tcMar>
          </w:tcPr>
          <w:p>
            <w:r>
              <w:rPr>
                <w:rFonts w:ascii="Arial" w:cs="Arial" w:eastAsia="Arial" w:hAnsi="Arial"/>
                <w:color w:val="333333"/>
                <w:sz w:val="20"/>
                <w:szCs w:val="20"/>
              </w:rPr>
              <w:t xml:space="preserve">Track forecast model accuracy over time</w:t>
            </w:r>
          </w:p>
        </w:tc>
      </w:tr>
    </w:tbl>
    <w:p>
      <w:pPr>
        <w:spacing w:after="80" w:before="80"/>
      </w:pPr>
      <w:r>
        <w:t xml:space="preserve"/>
      </w:r>
    </w:p>
    <w:p>
      <w:pPr>
        <w:shd w:fill="1B6E52" w:val="clear"/>
        <w:spacing w:after="160" w:before="320"/>
        <w:jc w:val="center"/>
      </w:pPr>
      <w:r>
        <w:rPr>
          <w:rFonts w:ascii="Arial" w:cs="Arial" w:eastAsia="Arial" w:hAnsi="Arial"/>
          <w:b/>
          <w:bCs/>
          <w:color w:val="FFFFFF"/>
          <w:sz w:val="24"/>
          <w:szCs w:val="24"/>
        </w:rPr>
        <w:t xml:space="preserve">  PROJECT SUMMARY  </w:t>
      </w:r>
    </w:p>
    <w:p>
      <w:pPr>
        <w:pStyle w:val="Heading1"/>
        <w:pBdr>
          <w:bottom w:val="single" w:color="1B6E52" w:sz="4" w:space="4"/>
        </w:pBdr>
        <w:spacing w:after="160" w:before="360"/>
      </w:pPr>
      <w:r>
        <w:rPr>
          <w:rFonts w:ascii="Arial" w:cs="Arial" w:eastAsia="Arial" w:hAnsi="Arial"/>
          <w:b/>
          <w:bCs/>
          <w:color w:val="1B6E52"/>
          <w:sz w:val="32"/>
          <w:szCs w:val="32"/>
        </w:rPr>
        <w:t xml:space="preserve">7. Tools Practised &amp; Portfolio Tips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gridCol w:w="2860"/>
      </w:tblGrid>
      <w:tr>
        <w:trPr>
          <w:tblHeader/>
        </w:trPr>
        <w:tc>
          <w:tcPr>
            <w:tcW w:type="dxa" w:w="2800"/>
            <w:tcBorders>
              <w:top w:val="single" w:color="1B6E52" w:sz="1"/>
              <w:left w:val="single" w:color="1B6E52" w:sz="1"/>
              <w:bottom w:val="single" w:color="1B6E52" w:sz="1"/>
              <w:right w:val="single" w:color="1B6E52" w:sz="1"/>
            </w:tcBorders>
            <w:shd w:fill="1B6E52"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700"/>
            <w:tcBorders>
              <w:top w:val="single" w:color="1B6E52" w:sz="1"/>
              <w:left w:val="single" w:color="1B6E52" w:sz="1"/>
              <w:bottom w:val="single" w:color="1B6E52" w:sz="1"/>
              <w:right w:val="single" w:color="1B6E52" w:sz="1"/>
            </w:tcBorders>
            <w:shd w:fill="1B6E52" w:val="clear"/>
            <w:tcMar>
              <w:top w:type="dxa" w:w="80"/>
              <w:left w:type="dxa" w:w="120"/>
              <w:bottom w:type="dxa" w:w="80"/>
              <w:right w:type="dxa" w:w="120"/>
            </w:tcMar>
          </w:tcPr>
          <w:p>
            <w:r>
              <w:rPr>
                <w:rFonts w:ascii="Arial" w:cs="Arial" w:eastAsia="Arial" w:hAnsi="Arial"/>
                <w:b/>
                <w:bCs/>
                <w:color w:val="FFFFFF"/>
                <w:sz w:val="20"/>
                <w:szCs w:val="20"/>
              </w:rPr>
              <w:t xml:space="preserve">What You Did</w:t>
            </w:r>
          </w:p>
        </w:tc>
        <w:tc>
          <w:tcPr>
            <w:tcW w:type="dxa" w:w="2860"/>
            <w:tcBorders>
              <w:top w:val="single" w:color="1B6E52" w:sz="1"/>
              <w:left w:val="single" w:color="1B6E52" w:sz="1"/>
              <w:bottom w:val="single" w:color="1B6E52" w:sz="1"/>
              <w:right w:val="single" w:color="1B6E52" w:sz="1"/>
            </w:tcBorders>
            <w:shd w:fill="1B6E52" w:val="clear"/>
            <w:tcMar>
              <w:top w:type="dxa" w:w="80"/>
              <w:left w:type="dxa" w:w="120"/>
              <w:bottom w:type="dxa" w:w="80"/>
              <w:right w:type="dxa" w:w="120"/>
            </w:tcMar>
          </w:tcPr>
          <w:p>
            <w:r>
              <w:rPr>
                <w:rFonts w:ascii="Arial" w:cs="Arial" w:eastAsia="Arial" w:hAnsi="Arial"/>
                <w:b/>
                <w:bCs/>
                <w:color w:val="FFFFFF"/>
                <w:sz w:val="20"/>
                <w:szCs w:val="20"/>
              </w:rPr>
              <w:t xml:space="preserve">Skill Demonstrated</w:t>
            </w:r>
          </w:p>
        </w:tc>
      </w:tr>
      <w:tr>
        <w:tc>
          <w:tcPr>
            <w:tcW w:type="dxa" w:w="2800"/>
            <w:tcBorders>
              <w:top w:val="single" w:color="CCCCCC" w:sz="1"/>
              <w:left w:val="single" w:color="CCCCCC" w:sz="1"/>
              <w:bottom w:val="single" w:color="CCCCCC" w:sz="1"/>
              <w:right w:val="single" w:color="CCCCCC" w:sz="1"/>
            </w:tcBorders>
            <w:shd w:fill="EFF7F3" w:val="clear"/>
            <w:tcMar>
              <w:top w:type="dxa" w:w="80"/>
              <w:left w:type="dxa" w:w="120"/>
              <w:bottom w:type="dxa" w:w="80"/>
              <w:right w:type="dxa" w:w="120"/>
            </w:tcMar>
          </w:tcPr>
          <w:p>
            <w:r>
              <w:rPr>
                <w:rFonts w:ascii="Arial" w:cs="Arial" w:eastAsia="Arial" w:hAnsi="Arial"/>
                <w:color w:val="333333"/>
                <w:sz w:val="20"/>
                <w:szCs w:val="20"/>
              </w:rPr>
              <w:t xml:space="preserve">Python (Pandas, Statsmodels)</w:t>
            </w:r>
          </w:p>
        </w:tc>
        <w:tc>
          <w:tcPr>
            <w:tcW w:type="dxa" w:w="3700"/>
            <w:tcBorders>
              <w:top w:val="single" w:color="CCCCCC" w:sz="1"/>
              <w:left w:val="single" w:color="CCCCCC" w:sz="1"/>
              <w:bottom w:val="single" w:color="CCCCCC" w:sz="1"/>
              <w:right w:val="single" w:color="CCCCCC" w:sz="1"/>
            </w:tcBorders>
            <w:shd w:fill="EFF7F3" w:val="clear"/>
            <w:tcMar>
              <w:top w:type="dxa" w:w="80"/>
              <w:left w:type="dxa" w:w="120"/>
              <w:bottom w:type="dxa" w:w="80"/>
              <w:right w:type="dxa" w:w="120"/>
            </w:tcMar>
          </w:tcPr>
          <w:p>
            <w:r>
              <w:rPr>
                <w:rFonts w:ascii="Arial" w:cs="Arial" w:eastAsia="Arial" w:hAnsi="Arial"/>
                <w:color w:val="333333"/>
                <w:sz w:val="20"/>
                <w:szCs w:val="20"/>
              </w:rPr>
              <w:t xml:space="preserve">Cleaned data, built and validated a forecasting model</w:t>
            </w:r>
          </w:p>
        </w:tc>
        <w:tc>
          <w:tcPr>
            <w:tcW w:type="dxa" w:w="2860"/>
            <w:tcBorders>
              <w:top w:val="single" w:color="CCCCCC" w:sz="1"/>
              <w:left w:val="single" w:color="CCCCCC" w:sz="1"/>
              <w:bottom w:val="single" w:color="CCCCCC" w:sz="1"/>
              <w:right w:val="single" w:color="CCCCCC" w:sz="1"/>
            </w:tcBorders>
            <w:shd w:fill="EFF7F3" w:val="clear"/>
            <w:tcMar>
              <w:top w:type="dxa" w:w="80"/>
              <w:left w:type="dxa" w:w="120"/>
              <w:bottom w:type="dxa" w:w="80"/>
              <w:right w:type="dxa" w:w="120"/>
            </w:tcMar>
          </w:tcPr>
          <w:p>
            <w:r>
              <w:rPr>
                <w:rFonts w:ascii="Arial" w:cs="Arial" w:eastAsia="Arial" w:hAnsi="Arial"/>
                <w:color w:val="333333"/>
                <w:sz w:val="20"/>
                <w:szCs w:val="20"/>
              </w:rPr>
              <w:t xml:space="preserve">Time-series analysis, statistical modelling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Excel / Power BI</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Built reorder point tables and forecast dashboards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visualisation, business translation</w:t>
            </w:r>
          </w:p>
        </w:tc>
      </w:tr>
      <w:tr>
        <w:tc>
          <w:tcPr>
            <w:tcW w:type="dxa" w:w="2800"/>
            <w:tcBorders>
              <w:top w:val="single" w:color="CCCCCC" w:sz="1"/>
              <w:left w:val="single" w:color="CCCCCC" w:sz="1"/>
              <w:bottom w:val="single" w:color="CCCCCC" w:sz="1"/>
              <w:right w:val="single" w:color="CCCCCC" w:sz="1"/>
            </w:tcBorders>
            <w:shd w:fill="EFF7F3" w:val="clear"/>
            <w:tcMar>
              <w:top w:type="dxa" w:w="80"/>
              <w:left w:type="dxa" w:w="120"/>
              <w:bottom w:type="dxa" w:w="80"/>
              <w:right w:type="dxa" w:w="120"/>
            </w:tcMar>
          </w:tcPr>
          <w:p>
            <w:r>
              <w:rPr>
                <w:rFonts w:ascii="Arial" w:cs="Arial" w:eastAsia="Arial" w:hAnsi="Arial"/>
                <w:color w:val="333333"/>
                <w:sz w:val="20"/>
                <w:szCs w:val="20"/>
              </w:rPr>
              <w:t xml:space="preserve">Business Thinking</w:t>
            </w:r>
          </w:p>
        </w:tc>
        <w:tc>
          <w:tcPr>
            <w:tcW w:type="dxa" w:w="3700"/>
            <w:tcBorders>
              <w:top w:val="single" w:color="CCCCCC" w:sz="1"/>
              <w:left w:val="single" w:color="CCCCCC" w:sz="1"/>
              <w:bottom w:val="single" w:color="CCCCCC" w:sz="1"/>
              <w:right w:val="single" w:color="CCCCCC" w:sz="1"/>
            </w:tcBorders>
            <w:shd w:fill="EFF7F3" w:val="clear"/>
            <w:tcMar>
              <w:top w:type="dxa" w:w="80"/>
              <w:left w:type="dxa" w:w="120"/>
              <w:bottom w:type="dxa" w:w="80"/>
              <w:right w:type="dxa" w:w="120"/>
            </w:tcMar>
          </w:tcPr>
          <w:p>
            <w:r>
              <w:rPr>
                <w:rFonts w:ascii="Arial" w:cs="Arial" w:eastAsia="Arial" w:hAnsi="Arial"/>
                <w:color w:val="333333"/>
                <w:sz w:val="20"/>
                <w:szCs w:val="20"/>
              </w:rPr>
              <w:t xml:space="preserve">Converted a forecast into inventory and stocking decisions</w:t>
            </w:r>
          </w:p>
        </w:tc>
        <w:tc>
          <w:tcPr>
            <w:tcW w:type="dxa" w:w="2860"/>
            <w:tcBorders>
              <w:top w:val="single" w:color="CCCCCC" w:sz="1"/>
              <w:left w:val="single" w:color="CCCCCC" w:sz="1"/>
              <w:bottom w:val="single" w:color="CCCCCC" w:sz="1"/>
              <w:right w:val="single" w:color="CCCCCC" w:sz="1"/>
            </w:tcBorders>
            <w:shd w:fill="EFF7F3" w:val="clear"/>
            <w:tcMar>
              <w:top w:type="dxa" w:w="80"/>
              <w:left w:type="dxa" w:w="120"/>
              <w:bottom w:type="dxa" w:w="80"/>
              <w:right w:type="dxa" w:w="120"/>
            </w:tcMar>
          </w:tcPr>
          <w:p>
            <w:r>
              <w:rPr>
                <w:rFonts w:ascii="Arial" w:cs="Arial" w:eastAsia="Arial" w:hAnsi="Arial"/>
                <w:color w:val="333333"/>
                <w:sz w:val="20"/>
                <w:szCs w:val="20"/>
              </w:rPr>
              <w:t xml:space="preserve">Operational decision-making, ROI thinking</w:t>
            </w:r>
          </w:p>
        </w:tc>
      </w:tr>
    </w:tbl>
    <w:p>
      <w:pPr>
        <w:spacing w:after="80" w:before="80"/>
      </w:pPr>
      <w:r>
        <w:t xml:space="preserve"/>
      </w:r>
    </w:p>
    <w:p>
      <w:pPr>
        <w:pStyle w:val="Heading2"/>
        <w:spacing w:after="120" w:before="280"/>
      </w:pPr>
      <w:r>
        <w:rPr>
          <w:rFonts w:ascii="Arial" w:cs="Arial" w:eastAsia="Arial" w:hAnsi="Arial"/>
          <w:b/>
          <w:bCs/>
          <w:color w:val="13513D"/>
          <w:sz w:val="26"/>
          <w:szCs w:val="26"/>
        </w:rPr>
        <w:t xml:space="preserve">7.1 How This Completes the Portfolio</w:t>
      </w:r>
    </w:p>
    <w:p>
      <w:pPr>
        <w:spacing w:after="80" w:before="80"/>
      </w:pPr>
      <w:r>
        <w:rPr>
          <w:rFonts w:ascii="Arial" w:cs="Arial" w:eastAsia="Arial" w:hAnsi="Arial"/>
          <w:color w:val="333333"/>
          <w:sz w:val="22"/>
          <w:szCs w:val="22"/>
        </w:rPr>
        <w:t xml:space="preserve">Together with QuickKart OMS and RetailMart Customer Segmentation, this project rounds out a three-project portfolio covering the most common BA skill areas tested in interviews: Project 1 (QuickKart) covers operations and process improvement, Project 2 (RetailMart) covers customer analytics and marketing strategy, and Project 3 (GreenLeaf Mart) covers forecasting, numbers, and inventory decision-making.</w:t>
      </w:r>
    </w:p>
    <w:p>
      <w:pPr>
        <w:spacing w:after="80" w:before="80"/>
      </w:pPr>
      <w:r>
        <w:rPr>
          <w:rFonts w:ascii="Arial" w:cs="Arial" w:eastAsia="Arial" w:hAnsi="Arial"/>
          <w:color w:val="333333"/>
          <w:sz w:val="22"/>
          <w:szCs w:val="22"/>
        </w:rPr>
        <w:t xml:space="preserve">Together, these three projects demonstrate the ability to analyse a process, segment a customer base, and forecast demand — the three pillars most BA job descriptions ask for.</w:t>
      </w:r>
    </w:p>
    <w:p>
      <w:pPr>
        <w:spacing w:after="80" w:before="80"/>
      </w:pPr>
      <w:r>
        <w:t xml:space="preserve"/>
      </w:r>
    </w:p>
    <w:p>
      <w:pPr>
        <w:pBdr>
          <w:top w:val="single" w:color="CCCCCC" w:sz="2" w:space="8"/>
        </w:pBdr>
        <w:spacing w:after="0" w:before="480"/>
        <w:jc w:val="center"/>
      </w:pPr>
      <w:r>
        <w:rPr>
          <w:rFonts w:ascii="Arial" w:cs="Arial" w:eastAsia="Arial" w:hAnsi="Arial"/>
          <w:i/>
          <w:iCs/>
          <w:color w:val="888888"/>
          <w:sz w:val="20"/>
          <w:szCs w:val="20"/>
        </w:rPr>
        <w:t xml:space="preserve">End of Document — GreenLeaf Mart Sales Forecasting Project v1.0</w:t>
      </w:r>
    </w:p>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GreenLeaf Mart Sales Forecasting — BA Portfolio Project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2026-06-19T11:17:01.608Z</dcterms:created>
  <dcterms:modified xsi:type="dcterms:W3CDTF">2026-06-19T11:17:01.608Z</dcterms:modified>
</cp:coreProperties>
</file>

<file path=docProps/custom.xml><?xml version="1.0" encoding="utf-8"?>
<Properties xmlns="http://schemas.openxmlformats.org/officeDocument/2006/custom-properties" xmlns:vt="http://schemas.openxmlformats.org/officeDocument/2006/docPropsVTypes"/>
</file>