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700"/>
        <w:gridCol w:w="1275"/>
        <w:gridCol w:w="2789"/>
        <w:gridCol w:w="2648"/>
        <w:gridCol w:w="1934"/>
        <w:gridCol w:w="1612"/>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§5, §10)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§9, §10, §12)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 invite email fired only at 5 (confirmed in mail log); an expired/invalid Accept-Link showed a clean message; test data removed afterward.</w:t>
            </w:r>
          </w:p>
        </w:tc>
        <w:tc>
          <w:tcPr>
            <w:tcW w:w="1095" w:type="dxa"/>
          </w:tcPr>
          <w:p w14:paraId="49A02828">
            <w:r>
              <w:rPr>
                <w:sz w:val="19"/>
              </w:rPr>
              <w:t>Done – deployed &amp; verified live</w:t>
            </w:r>
          </w:p>
        </w:tc>
      </w:tr>
      <w:tr w14:paraId="3505FBBC">
        <w:tblPrEx>
          <w:tblCellMar>
            <w:top w:w="0" w:type="dxa"/>
            <w:left w:w="108" w:type="dxa"/>
            <w:bottom w:w="0" w:type="dxa"/>
            <w:right w:w="108" w:type="dxa"/>
          </w:tblCellMar>
        </w:tblPrEx>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§6, §11)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 see Status.</w:t>
            </w:r>
          </w:p>
        </w:tc>
        <w:tc>
          <w:tcPr>
            <w:tcW w:w="1095" w:type="dxa"/>
            <w:shd w:val="clear" w:color="auto" w:fill="F4F6F8"/>
          </w:tcPr>
          <w:p w14:paraId="5669D465">
            <w:r>
              <w:rPr>
                <w:sz w:val="19"/>
              </w:rPr>
              <w:t>Replacement flow: done &amp; verified live. Payment capture: code complete, currently INACTIVE pending client decision —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 one succeeded, one was correctly rejected, and exactly one booking was created (not two). Duplicate-invite fix: enrolled a test session to its minimum (one invitation round sent), then added a 6th attendee —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 a fast “already captured”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§5, §6, §9)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 correctly rejected with a clear message naming the actual count and the minimum required. Enrolled a 5th participant to reach the minimum and repeated the identical request — succeeded, teacher shown as assigned. The payment-capture safety fix could not be tested against a real gateway failure this round —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§6, §7, §8) —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“on-hold” at checkout, but the plugin's minimum-participant check only ever counted a different booking status —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 started On Hold, a teacher was assigned to its session, and the order flipped to Completed with a real captured charge confirmed directly on the order (Stripe charge ID visible, WooPayments' own “successfully captured” note). The package's other session, still below its own minimum, correctly stayed unconfirmed — proving one session's outcome didn't affect the other. Negative case (order #1178, $69.00) —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“disable it later” —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bl>
    <w:p w14:paraId="02323098"/>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DA6701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Engr. Asif Khan</cp:lastModifiedBy>
  <dcterms:modified xsi:type="dcterms:W3CDTF">2026-09-07T16:45:33Z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