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b/>
          <w:bCs/>
          <w:color w:val="1F5EFF"/>
          <w:spacing w:val="30"/>
          <w:sz w:val="30"/>
          <w:szCs w:val="30"/>
        </w:rPr>
        <w:t xml:space="preserve">PUBLIC CREDIT</w:t>
      </w:r>
    </w:p>
    <w:p>
      <w:pPr>
        <w:spacing w:after="500"/>
        <w:jc w:val="center"/>
      </w:pPr>
      <w:r>
        <w:rPr>
          <w:b/>
          <w:bCs/>
          <w:color w:val="1B2A4A"/>
          <w:spacing w:val="30"/>
          <w:sz w:val="30"/>
          <w:szCs w:val="30"/>
        </w:rPr>
        <w:t xml:space="preserve">OPPORTUNITY ENGINE</w:t>
      </w:r>
    </w:p>
    <w:p>
      <w:pPr>
        <w:pBdr>
          <w:top w:val="single" w:color="1F5EFF" w:sz="8" w:space="12"/>
        </w:pBdr>
        <w:spacing w:after="40"/>
        <w:jc w:val="center"/>
      </w:pPr>
    </w:p>
    <w:p>
      <w:pPr>
        <w:spacing w:after="60" w:before="260"/>
        <w:jc w:val="center"/>
      </w:pPr>
      <w:r>
        <w:rPr>
          <w:b/>
          <w:bCs/>
          <w:color w:val="1A1A1A"/>
          <w:sz w:val="44"/>
          <w:szCs w:val="44"/>
        </w:rPr>
        <w:t xml:space="preserve">Quantitative Methodology</w:t>
      </w:r>
    </w:p>
    <w:p>
      <w:pPr>
        <w:spacing w:after="900"/>
        <w:jc w:val="center"/>
      </w:pPr>
      <w:r>
        <w:rPr>
          <w:i/>
          <w:iCs/>
          <w:color w:val="5B6472"/>
          <w:sz w:val="24"/>
          <w:szCs w:val="24"/>
        </w:rPr>
        <w:t xml:space="preserve">How compensation, forecasts, volatility positions and relative ranking are computed across global public credit and sovereign debt markets</w:t>
      </w:r>
    </w:p>
    <w:p>
      <w:pPr>
        <w:spacing w:after="40"/>
        <w:jc w:val="center"/>
      </w:pPr>
      <w:r>
        <w:rPr>
          <w:color w:val="44546A"/>
          <w:sz w:val="22"/>
          <w:szCs w:val="22"/>
        </w:rPr>
        <w:t xml:space="preserve">August 2026</w:t>
      </w:r>
    </w:p>
    <w:p>
      <w:pPr>
        <w:jc w:val="center"/>
      </w:pPr>
      <w:r>
        <w:rPr>
          <w:color w:val="5B6472"/>
          <w:sz w:val="18"/>
          <w:szCs w:val="18"/>
        </w:rPr>
        <w:t xml:space="preserve">Methodology reference — standalone</w:t>
      </w:r>
    </w:p>
    <w:p>
      <w:r>
        <w:br w:type="page"/>
      </w:r>
    </w:p>
    <w:p>
      <w:pPr>
        <w:pStyle w:val="Heading1"/>
        <w:pBdr>
          <w:bottom w:val="single" w:color="1F5EFF" w:sz="6" w:space="6"/>
        </w:pBdr>
        <w:spacing w:after="200" w:before="420"/>
      </w:pPr>
      <w:r>
        <w:rPr>
          <w:b/>
          <w:bCs/>
          <w:color w:val="1B2A4A"/>
          <w:sz w:val="30"/>
          <w:szCs w:val="30"/>
        </w:rPr>
        <w:t xml:space="preserve">Contents</w:t>
      </w:r>
    </w:p>
    <w:p>
      <w:pPr>
        <w:tabs>
          <w:tab w:val="right" w:pos="9026" w:leader="dot"/>
        </w:tabs>
        <w:spacing w:after="130"/>
      </w:pPr>
      <w:r>
        <w:rPr>
          <w:color w:val="1A1A1A"/>
          <w:sz w:val="23"/>
          <w:szCs w:val="23"/>
        </w:rPr>
        <w:t xml:space="preserve">1. Purpose, Scope and Coverage</w:t>
      </w:r>
    </w:p>
    <w:p>
      <w:pPr>
        <w:tabs>
          <w:tab w:val="right" w:pos="9026" w:leader="dot"/>
        </w:tabs>
        <w:spacing w:after="130"/>
      </w:pPr>
      <w:r>
        <w:rPr>
          <w:color w:val="1A1A1A"/>
          <w:sz w:val="23"/>
          <w:szCs w:val="23"/>
        </w:rPr>
        <w:t xml:space="preserve">2. Data Foundations and the Total-Return Construction</w:t>
      </w:r>
    </w:p>
    <w:p>
      <w:pPr>
        <w:tabs>
          <w:tab w:val="right" w:pos="9026" w:leader="dot"/>
        </w:tabs>
        <w:spacing w:after="130"/>
      </w:pPr>
      <w:r>
        <w:rPr>
          <w:color w:val="1A1A1A"/>
          <w:sz w:val="23"/>
          <w:szCs w:val="23"/>
        </w:rPr>
        <w:t xml:space="preserve">3. Compensation for Credit Risk — Spread, Expected Loss, Cover Ratio</w:t>
      </w:r>
    </w:p>
    <w:p>
      <w:pPr>
        <w:tabs>
          <w:tab w:val="right" w:pos="9026" w:leader="dot"/>
        </w:tabs>
        <w:spacing w:after="130"/>
      </w:pPr>
      <w:r>
        <w:rPr>
          <w:color w:val="1A1A1A"/>
          <w:sz w:val="23"/>
          <w:szCs w:val="23"/>
        </w:rPr>
        <w:t xml:space="preserve">4. The Forecasting Engine — Vector Autoregression</w:t>
      </w:r>
    </w:p>
    <w:p>
      <w:pPr>
        <w:tabs>
          <w:tab w:val="right" w:pos="9026" w:leader="dot"/>
        </w:tabs>
        <w:spacing w:after="130"/>
      </w:pPr>
      <w:r>
        <w:rPr>
          <w:color w:val="1A1A1A"/>
          <w:sz w:val="23"/>
          <w:szCs w:val="23"/>
        </w:rPr>
        <w:t xml:space="preserve">5. Driving-Metric Analysis — Forecast-Error Variance Decomposition</w:t>
      </w:r>
    </w:p>
    <w:p>
      <w:pPr>
        <w:tabs>
          <w:tab w:val="right" w:pos="9026" w:leader="dot"/>
        </w:tabs>
        <w:spacing w:after="130"/>
      </w:pPr>
      <w:r>
        <w:rPr>
          <w:color w:val="1A1A1A"/>
          <w:sz w:val="23"/>
          <w:szCs w:val="23"/>
        </w:rPr>
        <w:t xml:space="preserve">6. Simulating the Forecast — Residual Bootstrap</w:t>
      </w:r>
    </w:p>
    <w:p>
      <w:pPr>
        <w:tabs>
          <w:tab w:val="right" w:pos="9026" w:leader="dot"/>
        </w:tabs>
        <w:spacing w:after="130"/>
      </w:pPr>
      <w:r>
        <w:rPr>
          <w:color w:val="1A1A1A"/>
          <w:sz w:val="23"/>
          <w:szCs w:val="23"/>
        </w:rPr>
        <w:t xml:space="preserve">7. Pricing a Volatility Position — the Bachelier Option Model</w:t>
      </w:r>
    </w:p>
    <w:p>
      <w:pPr>
        <w:tabs>
          <w:tab w:val="right" w:pos="9026" w:leader="dot"/>
        </w:tabs>
        <w:spacing w:after="130"/>
      </w:pPr>
      <w:r>
        <w:rPr>
          <w:color w:val="1A1A1A"/>
          <w:sz w:val="23"/>
          <w:szCs w:val="23"/>
        </w:rPr>
        <w:t xml:space="preserve">8. Risk and Performance Metrics</w:t>
      </w:r>
    </w:p>
    <w:p>
      <w:pPr>
        <w:tabs>
          <w:tab w:val="right" w:pos="9026" w:leader="dot"/>
        </w:tabs>
        <w:spacing w:after="130"/>
      </w:pPr>
      <w:r>
        <w:rPr>
          <w:color w:val="1A1A1A"/>
          <w:sz w:val="23"/>
          <w:szCs w:val="23"/>
        </w:rPr>
        <w:t xml:space="preserve">9. Unsupervised Classification — Strong, Neutral, Weak</w:t>
      </w:r>
    </w:p>
    <w:p>
      <w:pPr>
        <w:tabs>
          <w:tab w:val="right" w:pos="9026" w:leader="dot"/>
        </w:tabs>
        <w:spacing w:after="130"/>
      </w:pPr>
      <w:r>
        <w:rPr>
          <w:color w:val="1A1A1A"/>
          <w:sz w:val="23"/>
          <w:szCs w:val="23"/>
        </w:rPr>
        <w:t xml:space="preserve">10. Geographic Aggregation — the Opportunity Heat Map</w:t>
      </w:r>
    </w:p>
    <w:p>
      <w:pPr>
        <w:tabs>
          <w:tab w:val="right" w:pos="9026" w:leader="dot"/>
        </w:tabs>
        <w:spacing w:after="130"/>
      </w:pPr>
      <w:r>
        <w:rPr>
          <w:color w:val="1A1A1A"/>
          <w:sz w:val="23"/>
          <w:szCs w:val="23"/>
        </w:rPr>
        <w:t xml:space="preserve">11. Platform Surface</w:t>
      </w:r>
    </w:p>
    <w:p>
      <w:pPr>
        <w:tabs>
          <w:tab w:val="right" w:pos="9026" w:leader="dot"/>
        </w:tabs>
        <w:spacing w:after="130"/>
      </w:pPr>
      <w:r>
        <w:rPr>
          <w:color w:val="1A1A1A"/>
          <w:sz w:val="23"/>
          <w:szCs w:val="23"/>
        </w:rPr>
        <w:t xml:space="preserve">12. System-Wide Design Principles and Limitations</w:t>
      </w:r>
    </w:p>
    <w:p>
      <w:r>
        <w:br w:type="page"/>
      </w:r>
    </w:p>
    <w:p>
      <w:pPr>
        <w:pStyle w:val="Heading1"/>
        <w:pBdr>
          <w:bottom w:val="single" w:color="1F5EFF" w:sz="6" w:space="6"/>
        </w:pBdr>
        <w:spacing w:after="200" w:before="420"/>
      </w:pPr>
      <w:r>
        <w:rPr>
          <w:b/>
          <w:bCs/>
          <w:color w:val="1B2A4A"/>
          <w:sz w:val="30"/>
          <w:szCs w:val="30"/>
        </w:rPr>
        <w:t xml:space="preserve">1. Purpose, Scope and Coverage</w:t>
      </w:r>
    </w:p>
    <w:p>
      <w:pPr>
        <w:spacing w:after="160" w:line="300"/>
        <w:jc w:val="both"/>
      </w:pPr>
      <w:r>
        <w:rPr>
          <w:sz w:val="22"/>
          <w:szCs w:val="22"/>
        </w:rPr>
        <w:t xml:space="preserve">The platform screens, forecasts and prices global public credit and sovereign debt for the compensation it offers, expressed consistently as basis points of realized or forecast total return. It performs four analytically distinct tasks against the same underlying universe of instruments: it measures what an instrument has actually paid a holder historically; it produces a statistical forecast, with an honest uncertainty band, of where its price is likely to go; it prices the cost and payoff of a volatility position taken on it; and it ranks every instrument against its peers using an unsupervised statistical classification, with no target variable and no imposed labels.</w:t>
      </w:r>
    </w:p>
    <w:p>
      <w:pPr>
        <w:spacing w:after="160" w:line="300"/>
        <w:jc w:val="both"/>
      </w:pPr>
      <w:r>
        <w:rPr>
          <w:sz w:val="22"/>
          <w:szCs w:val="22"/>
        </w:rPr>
        <w:t xml:space="preserve">The universe covers the full US investment-grade and high-yield corporate credit ladder (seven rating grades), more than twenty regional, sector and quality-tier emerging-market and euro-area corporate credit indices, and government ten-year benchmark curves for upward of eighty sovereigns spanning developed, emerging and frontier markets across every populated region. Straddle instruments — both on a single series and on the spread between two — are priced across the same universe wherever a fitted statistical model supports it.</w:t>
      </w:r>
    </w:p>
    <w:p>
      <w:pPr>
        <w:spacing w:after="160" w:line="300"/>
        <w:jc w:val="both"/>
      </w:pPr>
      <w:r>
        <w:rPr>
          <w:sz w:val="22"/>
          <w:szCs w:val="22"/>
        </w:rPr>
        <w:t xml:space="preserve">Every figure the platform reports is computed at request time from live public data — central-bank and statistical-agency yield curves, exchange-traded option-adjusted credit spread indices, listed fund prices and currency crosses, and structural economic indicators — never fabricated, interpolated across markets, or backfilled with a placeholder. A market for which no free, reliable source exists is reported unavailable, explicitly, rather than silently omitted or estimated. This principle — say what is unknown rather than disguise it — governs every computation described in this document and is restated in full in the closing section.</w:t>
      </w:r>
    </w:p>
    <w:p>
      <w:pPr>
        <w:pStyle w:val="Heading1"/>
        <w:pBdr>
          <w:bottom w:val="single" w:color="1F5EFF" w:sz="6" w:space="6"/>
        </w:pBdr>
        <w:spacing w:after="200" w:before="420"/>
      </w:pPr>
      <w:r>
        <w:rPr>
          <w:b/>
          <w:bCs/>
          <w:color w:val="1B2A4A"/>
          <w:sz w:val="30"/>
          <w:szCs w:val="30"/>
        </w:rPr>
        <w:t xml:space="preserve">2. Data Foundations and the Total-Return Construction</w:t>
      </w:r>
    </w:p>
    <w:p>
      <w:pPr>
        <w:spacing w:after="160" w:line="300"/>
        <w:jc w:val="both"/>
      </w:pPr>
      <w:r>
        <w:rPr>
          <w:sz w:val="22"/>
          <w:szCs w:val="22"/>
        </w:rPr>
        <w:t xml:space="preserve">The public sources this platform draws on — sovereign yield curves, option-adjusted credit spread indices, default-rate proxies, listed fund prices, currency crosses and structural indicators — publish a LEVEL: a spread or a yield, quoted in percent, on a given date. None of them publishes a total-return index for the instruments this platform covers. Every return figure shown anywhere on the platform is therefore constructed, not looked up, from the sequence of published levels.</w:t>
      </w:r>
    </w:p>
    <w:p>
      <w:pPr>
        <w:pStyle w:val="Heading2"/>
        <w:spacing w:after="140" w:before="300"/>
      </w:pPr>
      <w:r>
        <w:rPr>
          <w:b/>
          <w:bCs/>
          <w:color w:val="44546A"/>
          <w:sz w:val="25"/>
          <w:szCs w:val="25"/>
        </w:rPr>
        <w:t xml:space="preserve">2.1 The carry-and-price decomposition</w:t>
      </w:r>
    </w:p>
    <w:p>
      <w:pPr>
        <w:spacing w:after="160" w:line="300"/>
        <w:jc w:val="both"/>
      </w:pPr>
      <w:r>
        <w:rPr>
          <w:b w:val="false"/>
          <w:bCs w:val="false"/>
          <w:i w:val="false"/>
          <w:iCs w:val="false"/>
          <w:sz w:val="22"/>
          <w:szCs w:val="22"/>
        </w:rPr>
        <w:t xml:space="preserve">A fixed-income instrument's holding-period return over one period decomposes into carry — the income accrued while it is held — plus price, the mark-to-market effect of the level moving. Writing the observable level at the end of period t as </w:t>
      </w:r>
      <m:oMath>
        <m:sSub>
          <m:sSubPr/>
          <m:e>
            <m:r>
              <m:t>L</m:t>
            </m:r>
          </m:e>
          <m:sub>
            <m:r>
              <m:t>t</m:t>
            </m:r>
          </m:sub>
        </m:sSub>
      </m:oMath>
      <w:r>
        <w:rPr>
          <w:b w:val="false"/>
          <w:bCs w:val="false"/>
          <w:i w:val="false"/>
          <w:iCs w:val="false"/>
          <w:sz w:val="22"/>
          <w:szCs w:val="22"/>
        </w:rPr>
        <w:t xml:space="preserve"> (a spread or a yield, in percent) and the period's length as </w:t>
      </w:r>
      <m:oMath>
        <m:f>
          <m:num>
            <m:r>
              <m:t>1</m:t>
            </m:r>
          </m:num>
          <m:den>
            <m:r>
              <m:t>N</m:t>
            </m:r>
          </m:den>
        </m:f>
      </m:oMath>
      <w:r>
        <w:rPr>
          <w:b w:val="false"/>
          <w:bCs w:val="false"/>
          <w:i w:val="false"/>
          <w:iCs w:val="false"/>
          <w:sz w:val="22"/>
          <w:szCs w:val="22"/>
        </w:rPr>
        <w:t xml:space="preserve"> of a year:</w:t>
      </w:r>
    </w:p>
    <w:p>
      <w:pPr>
        <w:spacing w:after="210" w:before="170"/>
        <w:jc w:val="center"/>
      </w:pPr>
      <m:oMath>
        <m:sSub>
          <m:sSubPr/>
          <m:e>
            <m:r>
              <m:t>r</m:t>
            </m:r>
          </m:e>
          <m:sub>
            <m:r>
              <m:t>t</m:t>
            </m:r>
          </m:sub>
        </m:sSub>
        <m:r>
          <m:t> = </m:t>
        </m:r>
        <m:f>
          <m:num>
            <m:sSub>
              <m:sSubPr/>
              <m:e>
                <m:r>
                  <m:t>L</m:t>
                </m:r>
              </m:e>
              <m:sub>
                <m:r>
                  <m:t>t-1</m:t>
                </m:r>
              </m:sub>
            </m:sSub>
          </m:num>
          <m:den>
            <m:r>
              <m:t>N</m:t>
            </m:r>
          </m:den>
        </m:f>
        <m:r>
          <m:t> − D</m:t>
        </m:r>
        <m:d>
          <m:dPr/>
          <m:e>
            <m:sSub>
              <m:sSubPr/>
              <m:e>
                <m:r>
                  <m:t>L</m:t>
                </m:r>
              </m:e>
              <m:sub>
                <m:r>
                  <m:t>t</m:t>
                </m:r>
              </m:sub>
            </m:sSub>
            <m:r>
              <m:t> − </m:t>
            </m:r>
            <m:sSub>
              <m:sSubPr/>
              <m:e>
                <m:r>
                  <m:t>L</m:t>
                </m:r>
              </m:e>
              <m:sub>
                <m:r>
                  <m:t>t-1</m:t>
                </m:r>
              </m:sub>
            </m:sSub>
          </m:e>
        </m:d>
        <m:r>
          <m:t> × 100</m:t>
        </m:r>
      </m:oMath>
    </w:p>
    <w:p>
      <w:pPr>
        <w:spacing w:after="160" w:line="300"/>
        <w:jc w:val="both"/>
      </w:pPr>
      <w:r>
        <w:rPr>
          <w:b w:val="false"/>
          <w:bCs w:val="false"/>
          <w:i w:val="false"/>
          <w:iCs w:val="false"/>
          <w:sz w:val="22"/>
          <w:szCs w:val="22"/>
        </w:rPr>
        <w:t xml:space="preserve">the first term is carry — the level a period earlier, annuitised over N periods a year — and the second is the price effect: a duration-scaled, sign-reversed change in the level, expressed in basis points. A rising spread or a rising yield is a capital loss for a holder, which is why the level change enters with a negative sign; D converts a change measured in percentage points of yield or spread into a change in price.</w:t>
      </w:r>
    </w:p>
    <w:p>
      <w:pPr>
        <w:pStyle w:val="Heading2"/>
        <w:spacing w:after="140" w:before="300"/>
      </w:pPr>
      <w:r>
        <w:rPr>
          <w:b/>
          <w:bCs/>
          <w:color w:val="44546A"/>
          <w:sz w:val="25"/>
          <w:szCs w:val="25"/>
        </w:rPr>
        <w:t xml:space="preserve">2.2 Duration constants</w:t>
      </w:r>
    </w:p>
    <w:p>
      <w:pPr>
        <w:spacing w:after="160" w:line="300"/>
        <w:jc w:val="both"/>
      </w:pPr>
      <w:r>
        <w:rPr>
          <w:sz w:val="22"/>
          <w:szCs w:val="22"/>
        </w:rPr>
        <w:t xml:space="preserve">Two duration constants are applied platform-wide, chosen as standard proxies for the instrument classes covered rather than fitted or varied by market: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600"/>
        <w:gridCol w:w="2950"/>
      </w:tblGrid>
      <w:tr>
        <w:trPr>
          <w:tblHeader/>
        </w:trPr>
        <w:tc>
          <w:tcPr>
            <w:tcW w:type="dxa" w:w="3400"/>
            <w:shd w:fill="EEF2FA" w:val="clear"/>
            <w:tcMar>
              <w:top w:type="dxa" w:w="90"/>
              <w:left w:type="dxa" w:w="130"/>
              <w:bottom w:type="dxa" w:w="90"/>
              <w:right w:type="dxa" w:w="130"/>
            </w:tcMar>
            <w:vAlign w:val="center"/>
          </w:tcPr>
          <w:p>
            <w:pPr>
              <w:jc w:val="left"/>
            </w:pPr>
            <w:r>
              <w:rPr>
                <w:b/>
                <w:bCs/>
                <w:color w:val="44546A"/>
                <w:sz w:val="20"/>
                <w:szCs w:val="20"/>
              </w:rPr>
              <w:t xml:space="preserve">Instrument class</w:t>
            </w:r>
          </w:p>
        </w:tc>
        <w:tc>
          <w:tcPr>
            <w:tcW w:type="dxa" w:w="1400"/>
            <w:shd w:fill="EEF2FA" w:val="clear"/>
            <w:tcMar>
              <w:top w:type="dxa" w:w="90"/>
              <w:left w:type="dxa" w:w="130"/>
              <w:bottom w:type="dxa" w:w="90"/>
              <w:right w:type="dxa" w:w="130"/>
            </w:tcMar>
            <w:vAlign w:val="center"/>
          </w:tcPr>
          <w:p>
            <w:pPr>
              <w:jc w:val="center"/>
            </w:pPr>
            <w:r>
              <w:rPr>
                <w:b/>
                <w:bCs/>
                <w:color w:val="44546A"/>
                <w:sz w:val="20"/>
                <w:szCs w:val="20"/>
              </w:rPr>
              <w:t xml:space="preserve">Symbol</w:t>
            </w:r>
          </w:p>
        </w:tc>
        <w:tc>
          <w:tcPr>
            <w:tcW w:type="dxa" w:w="1600"/>
            <w:shd w:fill="EEF2FA" w:val="clear"/>
            <w:tcMar>
              <w:top w:type="dxa" w:w="90"/>
              <w:left w:type="dxa" w:w="130"/>
              <w:bottom w:type="dxa" w:w="90"/>
              <w:right w:type="dxa" w:w="130"/>
            </w:tcMar>
            <w:vAlign w:val="center"/>
          </w:tcPr>
          <w:p>
            <w:pPr>
              <w:jc w:val="center"/>
            </w:pPr>
            <w:r>
              <w:rPr>
                <w:b/>
                <w:bCs/>
                <w:color w:val="44546A"/>
                <w:sz w:val="20"/>
                <w:szCs w:val="20"/>
              </w:rPr>
              <w:t xml:space="preserve">Value</w:t>
            </w:r>
          </w:p>
        </w:tc>
        <w:tc>
          <w:tcPr>
            <w:tcW w:type="dxa" w:w="2950"/>
            <w:shd w:fill="EEF2FA" w:val="clear"/>
            <w:tcMar>
              <w:top w:type="dxa" w:w="90"/>
              <w:left w:type="dxa" w:w="130"/>
              <w:bottom w:type="dxa" w:w="90"/>
              <w:right w:type="dxa" w:w="130"/>
            </w:tcMar>
            <w:vAlign w:val="center"/>
          </w:tcPr>
          <w:p>
            <w:pPr>
              <w:jc w:val="center"/>
            </w:pPr>
            <w:r>
              <w:rPr>
                <w:b/>
                <w:bCs/>
                <w:color w:val="44546A"/>
                <w:sz w:val="20"/>
                <w:szCs w:val="20"/>
              </w:rPr>
              <w:t xml:space="preserve">Basis</w:t>
            </w:r>
          </w:p>
        </w:tc>
      </w:tr>
      <w:tr>
        <w:tc>
          <w:tcPr>
            <w:tcW w:type="dxa" w:w="3400"/>
            <w:tcMar>
              <w:top w:type="dxa" w:w="90"/>
              <w:left w:type="dxa" w:w="130"/>
              <w:bottom w:type="dxa" w:w="90"/>
              <w:right w:type="dxa" w:w="130"/>
            </w:tcMar>
            <w:vAlign w:val="center"/>
          </w:tcPr>
          <w:p>
            <w:pPr>
              <w:jc w:val="left"/>
            </w:pPr>
            <w:r>
              <w:rPr>
                <w:b w:val="false"/>
                <w:bCs w:val="false"/>
                <w:color w:val="1A1A1A"/>
                <w:sz w:val="20"/>
                <w:szCs w:val="20"/>
              </w:rPr>
              <w:t xml:space="preserve">Corporate / regional credit spread (US grade ladder, EM and euro credit indices)</w:t>
            </w:r>
          </w:p>
        </w:tc>
        <w:tc>
          <w:tcPr>
            <w:tcW w:type="dxa" w:w="1400"/>
            <w:tcMar>
              <w:top w:type="dxa" w:w="90"/>
              <w:left w:type="dxa" w:w="130"/>
              <w:bottom w:type="dxa" w:w="90"/>
              <w:right w:type="dxa" w:w="130"/>
            </w:tcMar>
            <w:vAlign w:val="center"/>
          </w:tcPr>
          <w:p>
            <w:pPr>
              <w:jc w:val="center"/>
            </w:pPr>
            <w:r>
              <w:rPr>
                <w:b w:val="false"/>
                <w:bCs w:val="false"/>
                <w:color w:val="1A1A1A"/>
                <w:sz w:val="20"/>
                <w:szCs w:val="20"/>
              </w:rPr>
              <w:t xml:space="preserve">D_credit</w:t>
            </w:r>
          </w:p>
        </w:tc>
        <w:tc>
          <w:tcPr>
            <w:tcW w:type="dxa" w:w="1600"/>
            <w:tcMar>
              <w:top w:type="dxa" w:w="90"/>
              <w:left w:type="dxa" w:w="130"/>
              <w:bottom w:type="dxa" w:w="90"/>
              <w:right w:type="dxa" w:w="130"/>
            </w:tcMar>
            <w:vAlign w:val="center"/>
          </w:tcPr>
          <w:p>
            <w:pPr>
              <w:jc w:val="center"/>
            </w:pPr>
            <w:r>
              <w:rPr>
                <w:b w:val="false"/>
                <w:bCs w:val="false"/>
                <w:color w:val="1A1A1A"/>
                <w:sz w:val="20"/>
                <w:szCs w:val="20"/>
              </w:rPr>
              <w:t xml:space="preserve">4.5 years</w:t>
            </w:r>
          </w:p>
        </w:tc>
        <w:tc>
          <w:tcPr>
            <w:tcW w:type="dxa" w:w="2950"/>
            <w:tcMar>
              <w:top w:type="dxa" w:w="90"/>
              <w:left w:type="dxa" w:w="130"/>
              <w:bottom w:type="dxa" w:w="90"/>
              <w:right w:type="dxa" w:w="130"/>
            </w:tcMar>
            <w:vAlign w:val="center"/>
          </w:tcPr>
          <w:p>
            <w:pPr>
              <w:jc w:val="center"/>
            </w:pPr>
            <w:r>
              <w:rPr>
                <w:b w:val="false"/>
                <w:bCs w:val="false"/>
                <w:color w:val="1A1A1A"/>
                <w:sz w:val="20"/>
                <w:szCs w:val="20"/>
              </w:rPr>
              <w:t xml:space="preserve">typical effective spread duration of a broad investment-grade / high-yield / EM corporate index</w:t>
            </w:r>
          </w:p>
        </w:tc>
      </w:tr>
      <w:tr>
        <w:tc>
          <w:tcPr>
            <w:tcW w:type="dxa" w:w="3400"/>
            <w:tcMar>
              <w:top w:type="dxa" w:w="90"/>
              <w:left w:type="dxa" w:w="130"/>
              <w:bottom w:type="dxa" w:w="90"/>
              <w:right w:type="dxa" w:w="130"/>
            </w:tcMar>
            <w:vAlign w:val="center"/>
          </w:tcPr>
          <w:p>
            <w:pPr>
              <w:jc w:val="left"/>
            </w:pPr>
            <w:r>
              <w:rPr>
                <w:b w:val="false"/>
                <w:bCs w:val="false"/>
                <w:color w:val="1A1A1A"/>
                <w:sz w:val="20"/>
                <w:szCs w:val="20"/>
              </w:rPr>
              <w:t xml:space="preserve">Sovereign 10-year government yield</w:t>
            </w:r>
          </w:p>
        </w:tc>
        <w:tc>
          <w:tcPr>
            <w:tcW w:type="dxa" w:w="1400"/>
            <w:tcMar>
              <w:top w:type="dxa" w:w="90"/>
              <w:left w:type="dxa" w:w="130"/>
              <w:bottom w:type="dxa" w:w="90"/>
              <w:right w:type="dxa" w:w="130"/>
            </w:tcMar>
            <w:vAlign w:val="center"/>
          </w:tcPr>
          <w:p>
            <w:pPr>
              <w:jc w:val="center"/>
            </w:pPr>
            <w:r>
              <w:rPr>
                <w:b w:val="false"/>
                <w:bCs w:val="false"/>
                <w:color w:val="1A1A1A"/>
                <w:sz w:val="20"/>
                <w:szCs w:val="20"/>
              </w:rPr>
              <w:t xml:space="preserve">D_sov</w:t>
            </w:r>
          </w:p>
        </w:tc>
        <w:tc>
          <w:tcPr>
            <w:tcW w:type="dxa" w:w="1600"/>
            <w:tcMar>
              <w:top w:type="dxa" w:w="90"/>
              <w:left w:type="dxa" w:w="130"/>
              <w:bottom w:type="dxa" w:w="90"/>
              <w:right w:type="dxa" w:w="130"/>
            </w:tcMar>
            <w:vAlign w:val="center"/>
          </w:tcPr>
          <w:p>
            <w:pPr>
              <w:jc w:val="center"/>
            </w:pPr>
            <w:r>
              <w:rPr>
                <w:b w:val="false"/>
                <w:bCs w:val="false"/>
                <w:color w:val="1A1A1A"/>
                <w:sz w:val="20"/>
                <w:szCs w:val="20"/>
              </w:rPr>
              <w:t xml:space="preserve">8.5 years</w:t>
            </w:r>
          </w:p>
        </w:tc>
        <w:tc>
          <w:tcPr>
            <w:tcW w:type="dxa" w:w="2950"/>
            <w:tcMar>
              <w:top w:type="dxa" w:w="90"/>
              <w:left w:type="dxa" w:w="130"/>
              <w:bottom w:type="dxa" w:w="90"/>
              <w:right w:type="dxa" w:w="130"/>
            </w:tcMar>
            <w:vAlign w:val="center"/>
          </w:tcPr>
          <w:p>
            <w:pPr>
              <w:jc w:val="center"/>
            </w:pPr>
            <w:r>
              <w:rPr>
                <w:b w:val="false"/>
                <w:bCs w:val="false"/>
                <w:color w:val="1A1A1A"/>
                <w:sz w:val="20"/>
                <w:szCs w:val="20"/>
              </w:rPr>
              <w:t xml:space="preserve">modified duration of a benchmark 10-year note, net of coupon</w:t>
            </w:r>
          </w:p>
        </w:tc>
      </w:tr>
    </w:tbl>
    <w:p>
      <w:pPr>
        <w:pBdr>
          <w:left w:val="single" w:color="C9CFDA" w:sz="12" w:space="8"/>
        </w:pBdr>
        <w:spacing w:after="220" w:before="60" w:line="280"/>
        <w:ind w:left="260"/>
      </w:pPr>
      <w:r>
        <w:rPr>
          <w:i/>
          <w:iCs/>
          <w:color w:val="5B6472"/>
          <w:sz w:val="20"/>
          <w:szCs w:val="20"/>
        </w:rPr>
        <w:t xml:space="preserve">Verification performed before this construction was trusted platform-wide: applied to the US 10-year government note at duration 8.5, the constructed series shows a maximum peak-to-trough drawdown of roughly 28% across the observed window — matching the scale of the 2022 policy-rate shock exactly where it should — and applied across the US credit ladder, annualised volatility rises monotonically from under 1% for the AAA grade to over 8% for CCC, the same ordering the market's own risk pricing implies. The construction was accepted only after these checks, not assumed.</w:t>
      </w:r>
    </w:p>
    <w:p>
      <w:pPr>
        <w:pStyle w:val="Heading2"/>
        <w:spacing w:after="140" w:before="300"/>
      </w:pPr>
      <w:r>
        <w:rPr>
          <w:b/>
          <w:bCs/>
          <w:color w:val="44546A"/>
          <w:sz w:val="25"/>
          <w:szCs w:val="25"/>
        </w:rPr>
        <w:t xml:space="preserve">2.3 Frequency</w:t>
      </w:r>
    </w:p>
    <w:p>
      <w:pPr>
        <w:spacing w:after="160" w:line="300"/>
        <w:jc w:val="both"/>
      </w:pPr>
      <w:r>
        <w:rPr>
          <w:sz w:val="22"/>
          <w:szCs w:val="22"/>
        </w:rPr>
        <w:t xml:space="preserve">Every credit series is observed daily and periods are annualised with N = 252; every ECB-sourced euro-area sovereign series is observed monthly and periods are annualised with N = 12. All downstream rolling-window statistics — realised volatility, the dealer pricing window, forecast-error accumulation — are parameterised by this same native frequency rather than by a fixed observation count, because a window defined only as a count of observations silently spans a very different length of calendar time on a monthly panel than on a daily one.</w:t>
      </w:r>
    </w:p>
    <w:p>
      <w:pPr>
        <w:pStyle w:val="Heading1"/>
        <w:pBdr>
          <w:bottom w:val="single" w:color="1F5EFF" w:sz="6" w:space="6"/>
        </w:pBdr>
        <w:spacing w:after="200" w:before="420"/>
      </w:pPr>
      <w:r>
        <w:rPr>
          <w:b/>
          <w:bCs/>
          <w:color w:val="1B2A4A"/>
          <w:sz w:val="30"/>
          <w:szCs w:val="30"/>
        </w:rPr>
        <w:t xml:space="preserve">3. Compensation for Credit Risk — Spread, Expected Loss, Cover Ratio</w:t>
      </w:r>
    </w:p>
    <w:p>
      <w:pPr>
        <w:spacing w:after="160" w:line="300"/>
        <w:jc w:val="both"/>
      </w:pPr>
      <w:r>
        <w:rPr>
          <w:sz w:val="22"/>
          <w:szCs w:val="22"/>
        </w:rPr>
        <w:t xml:space="preserve">The option-adjusted spread (OAS) of a credit index is the market's observable price for bearing credit risk in that grade or sector — the extra yield paid over a comparable government curve, adjusted for embedded optionality. On its own it says nothing about whether that extra yield is adequate compensation for the risk it is paid for; the platform therefore compares it, grade by grade, against an explicit estimate of the loss a holder should expect to suffer.</w:t>
      </w:r>
    </w:p>
    <w:p>
      <w:pPr>
        <w:pStyle w:val="Heading2"/>
        <w:spacing w:after="140" w:before="300"/>
      </w:pPr>
      <w:r>
        <w:rPr>
          <w:b/>
          <w:bCs/>
          <w:color w:val="44546A"/>
          <w:sz w:val="25"/>
          <w:szCs w:val="25"/>
        </w:rPr>
        <w:t xml:space="preserve">3.1 Expected loss</w:t>
      </w:r>
    </w:p>
    <w:p>
      <w:pPr>
        <w:spacing w:after="160" w:line="300"/>
        <w:jc w:val="both"/>
      </w:pPr>
      <w:r>
        <w:rPr>
          <w:sz w:val="22"/>
          <w:szCs w:val="22"/>
        </w:rPr>
        <w:t xml:space="preserve">Expected loss for a rating grade is the standard actuarial decomposition: the probability of default multiplied by the loss actually suffered given that a default occurs.</w:t>
      </w:r>
    </w:p>
    <w:p>
      <w:pPr>
        <w:spacing w:after="210" w:before="170"/>
        <w:jc w:val="center"/>
      </w:pPr>
      <m:oMath>
        <m:sSub>
          <m:sSubPr/>
          <m:e>
            <m:r>
              <m:t>EL</m:t>
            </m:r>
          </m:e>
          <m:sub>
            <m:r>
              <m:t>g</m:t>
            </m:r>
          </m:sub>
        </m:sSub>
        <m:r>
          <m:t> = </m:t>
        </m:r>
        <m:sSub>
          <m:sSubPr/>
          <m:e>
            <m:r>
              <m:t>PD</m:t>
            </m:r>
          </m:e>
          <m:sub>
            <m:r>
              <m:t>g</m:t>
            </m:r>
          </m:sub>
        </m:sSub>
        <m:r>
          <m:t> × </m:t>
        </m:r>
        <m:sSub>
          <m:sSubPr/>
          <m:e>
            <m:r>
              <m:t>LGD</m:t>
            </m:r>
          </m:e>
          <m:sub>
            <m:r>
              <m:t>g</m:t>
            </m:r>
          </m:sub>
        </m:sSub>
      </m:oMath>
    </w:p>
    <w:p>
      <w:pPr>
        <w:spacing w:after="160" w:line="300"/>
        <w:jc w:val="both"/>
      </w:pPr>
      <w:r>
        <w:rPr>
          <w:sz w:val="22"/>
          <w:szCs w:val="22"/>
        </w:rPr>
        <w:t xml:space="preserve">The probability-of-default term is proxied by a trailing bank charge-off and delinquency rate series, mapped by tier — one series for the investment-grade tier, a second, structurally higher one for the high-yield tier — since a live, per-grade issuer default panel is not freely published. Loss-given-default is a published, standard recovery-based assumption that rises as credit quality falls, reflecting deeper subordination and weaker recovery prospects among issuers that actually default at the lower end of the ladder: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290"/>
        <w:gridCol w:w="1290"/>
        <w:gridCol w:w="1290"/>
        <w:gridCol w:w="1290"/>
        <w:gridCol w:w="1290"/>
        <w:gridCol w:w="1300"/>
      </w:tblGrid>
      <w:tr>
        <w:trPr>
          <w:tblHeader/>
        </w:trPr>
        <w:tc>
          <w:tcPr>
            <w:tcW w:type="dxa" w:w="1600"/>
            <w:shd w:fill="EEF2FA" w:val="clear"/>
            <w:tcMar>
              <w:top w:type="dxa" w:w="90"/>
              <w:left w:type="dxa" w:w="130"/>
              <w:bottom w:type="dxa" w:w="90"/>
              <w:right w:type="dxa" w:w="130"/>
            </w:tcMar>
            <w:vAlign w:val="center"/>
          </w:tcPr>
          <w:p>
            <w:pPr>
              <w:jc w:val="left"/>
            </w:pPr>
            <w:r>
              <w:rPr>
                <w:b/>
                <w:bCs/>
                <w:color w:val="44546A"/>
                <w:sz w:val="20"/>
                <w:szCs w:val="20"/>
              </w:rPr>
              <w:t xml:space="preserve">Grade</w:t>
            </w:r>
          </w:p>
        </w:tc>
        <w:tc>
          <w:tcPr>
            <w:tcW w:type="dxa" w:w="1290"/>
            <w:shd w:fill="EEF2FA" w:val="clear"/>
            <w:tcMar>
              <w:top w:type="dxa" w:w="90"/>
              <w:left w:type="dxa" w:w="130"/>
              <w:bottom w:type="dxa" w:w="90"/>
              <w:right w:type="dxa" w:w="130"/>
            </w:tcMar>
            <w:vAlign w:val="center"/>
          </w:tcPr>
          <w:p>
            <w:pPr>
              <w:jc w:val="center"/>
            </w:pPr>
            <w:r>
              <w:rPr>
                <w:b/>
                <w:bCs/>
                <w:color w:val="44546A"/>
                <w:sz w:val="20"/>
                <w:szCs w:val="20"/>
              </w:rPr>
              <w:t xml:space="preserve">AAA / AA</w:t>
            </w:r>
          </w:p>
        </w:tc>
        <w:tc>
          <w:tcPr>
            <w:tcW w:type="dxa" w:w="1290"/>
            <w:shd w:fill="EEF2FA" w:val="clear"/>
            <w:tcMar>
              <w:top w:type="dxa" w:w="90"/>
              <w:left w:type="dxa" w:w="130"/>
              <w:bottom w:type="dxa" w:w="90"/>
              <w:right w:type="dxa" w:w="130"/>
            </w:tcMar>
            <w:vAlign w:val="center"/>
          </w:tcPr>
          <w:p>
            <w:pPr>
              <w:jc w:val="center"/>
            </w:pPr>
            <w:r>
              <w:rPr>
                <w:b/>
                <w:bCs/>
                <w:color w:val="44546A"/>
                <w:sz w:val="20"/>
                <w:szCs w:val="20"/>
              </w:rPr>
              <w:t xml:space="preserve">A</w:t>
            </w:r>
          </w:p>
        </w:tc>
        <w:tc>
          <w:tcPr>
            <w:tcW w:type="dxa" w:w="1290"/>
            <w:shd w:fill="EEF2FA" w:val="clear"/>
            <w:tcMar>
              <w:top w:type="dxa" w:w="90"/>
              <w:left w:type="dxa" w:w="130"/>
              <w:bottom w:type="dxa" w:w="90"/>
              <w:right w:type="dxa" w:w="130"/>
            </w:tcMar>
            <w:vAlign w:val="center"/>
          </w:tcPr>
          <w:p>
            <w:pPr>
              <w:jc w:val="center"/>
            </w:pPr>
            <w:r>
              <w:rPr>
                <w:b/>
                <w:bCs/>
                <w:color w:val="44546A"/>
                <w:sz w:val="20"/>
                <w:szCs w:val="20"/>
              </w:rPr>
              <w:t xml:space="preserve">BBB</w:t>
            </w:r>
          </w:p>
        </w:tc>
        <w:tc>
          <w:tcPr>
            <w:tcW w:type="dxa" w:w="1290"/>
            <w:shd w:fill="EEF2FA" w:val="clear"/>
            <w:tcMar>
              <w:top w:type="dxa" w:w="90"/>
              <w:left w:type="dxa" w:w="130"/>
              <w:bottom w:type="dxa" w:w="90"/>
              <w:right w:type="dxa" w:w="130"/>
            </w:tcMar>
            <w:vAlign w:val="center"/>
          </w:tcPr>
          <w:p>
            <w:pPr>
              <w:jc w:val="center"/>
            </w:pPr>
            <w:r>
              <w:rPr>
                <w:b/>
                <w:bCs/>
                <w:color w:val="44546A"/>
                <w:sz w:val="20"/>
                <w:szCs w:val="20"/>
              </w:rPr>
              <w:t xml:space="preserve">BB</w:t>
            </w:r>
          </w:p>
        </w:tc>
        <w:tc>
          <w:tcPr>
            <w:tcW w:type="dxa" w:w="1290"/>
            <w:shd w:fill="EEF2FA" w:val="clear"/>
            <w:tcMar>
              <w:top w:type="dxa" w:w="90"/>
              <w:left w:type="dxa" w:w="130"/>
              <w:bottom w:type="dxa" w:w="90"/>
              <w:right w:type="dxa" w:w="130"/>
            </w:tcMar>
            <w:vAlign w:val="center"/>
          </w:tcPr>
          <w:p>
            <w:pPr>
              <w:jc w:val="center"/>
            </w:pPr>
            <w:r>
              <w:rPr>
                <w:b/>
                <w:bCs/>
                <w:color w:val="44546A"/>
                <w:sz w:val="20"/>
                <w:szCs w:val="20"/>
              </w:rPr>
              <w:t xml:space="preserve">B</w:t>
            </w:r>
          </w:p>
        </w:tc>
        <w:tc>
          <w:tcPr>
            <w:tcW w:type="dxa" w:w="1300"/>
            <w:shd w:fill="EEF2FA" w:val="clear"/>
            <w:tcMar>
              <w:top w:type="dxa" w:w="90"/>
              <w:left w:type="dxa" w:w="130"/>
              <w:bottom w:type="dxa" w:w="90"/>
              <w:right w:type="dxa" w:w="130"/>
            </w:tcMar>
            <w:vAlign w:val="center"/>
          </w:tcPr>
          <w:p>
            <w:pPr>
              <w:jc w:val="center"/>
            </w:pPr>
            <w:r>
              <w:rPr>
                <w:b/>
                <w:bCs/>
                <w:color w:val="44546A"/>
                <w:sz w:val="20"/>
                <w:szCs w:val="20"/>
              </w:rPr>
              <w:t xml:space="preserve">CCC and below</w:t>
            </w:r>
          </w:p>
        </w:tc>
      </w:tr>
      <w:tr>
        <w:tc>
          <w:tcPr>
            <w:tcW w:type="dxa" w:w="1600"/>
            <w:tcMar>
              <w:top w:type="dxa" w:w="90"/>
              <w:left w:type="dxa" w:w="130"/>
              <w:bottom w:type="dxa" w:w="90"/>
              <w:right w:type="dxa" w:w="130"/>
            </w:tcMar>
            <w:vAlign w:val="center"/>
          </w:tcPr>
          <w:p>
            <w:pPr>
              <w:jc w:val="left"/>
            </w:pPr>
            <w:r>
              <w:rPr>
                <w:b w:val="false"/>
                <w:bCs w:val="false"/>
                <w:color w:val="1A1A1A"/>
                <w:sz w:val="20"/>
                <w:szCs w:val="20"/>
              </w:rPr>
              <w:t xml:space="preserve">Loss given default</w:t>
            </w:r>
          </w:p>
        </w:tc>
        <w:tc>
          <w:tcPr>
            <w:tcW w:type="dxa" w:w="1290"/>
            <w:tcMar>
              <w:top w:type="dxa" w:w="90"/>
              <w:left w:type="dxa" w:w="130"/>
              <w:bottom w:type="dxa" w:w="90"/>
              <w:right w:type="dxa" w:w="130"/>
            </w:tcMar>
            <w:vAlign w:val="center"/>
          </w:tcPr>
          <w:p>
            <w:pPr>
              <w:jc w:val="center"/>
            </w:pPr>
            <w:r>
              <w:rPr>
                <w:b w:val="false"/>
                <w:bCs w:val="false"/>
                <w:color w:val="1A1A1A"/>
                <w:sz w:val="20"/>
                <w:szCs w:val="20"/>
              </w:rPr>
              <w:t xml:space="preserve">40.0%</w:t>
            </w:r>
          </w:p>
        </w:tc>
        <w:tc>
          <w:tcPr>
            <w:tcW w:type="dxa" w:w="1290"/>
            <w:tcMar>
              <w:top w:type="dxa" w:w="90"/>
              <w:left w:type="dxa" w:w="130"/>
              <w:bottom w:type="dxa" w:w="90"/>
              <w:right w:type="dxa" w:w="130"/>
            </w:tcMar>
            <w:vAlign w:val="center"/>
          </w:tcPr>
          <w:p>
            <w:pPr>
              <w:jc w:val="center"/>
            </w:pPr>
            <w:r>
              <w:rPr>
                <w:b w:val="false"/>
                <w:bCs w:val="false"/>
                <w:color w:val="1A1A1A"/>
                <w:sz w:val="20"/>
                <w:szCs w:val="20"/>
              </w:rPr>
              <w:t xml:space="preserve">41.4%</w:t>
            </w:r>
          </w:p>
        </w:tc>
        <w:tc>
          <w:tcPr>
            <w:tcW w:type="dxa" w:w="1290"/>
            <w:tcMar>
              <w:top w:type="dxa" w:w="90"/>
              <w:left w:type="dxa" w:w="130"/>
              <w:bottom w:type="dxa" w:w="90"/>
              <w:right w:type="dxa" w:w="130"/>
            </w:tcMar>
            <w:vAlign w:val="center"/>
          </w:tcPr>
          <w:p>
            <w:pPr>
              <w:jc w:val="center"/>
            </w:pPr>
            <w:r>
              <w:rPr>
                <w:b w:val="false"/>
                <w:bCs w:val="false"/>
                <w:color w:val="1A1A1A"/>
                <w:sz w:val="20"/>
                <w:szCs w:val="20"/>
              </w:rPr>
              <w:t xml:space="preserve">43.5%</w:t>
            </w:r>
          </w:p>
        </w:tc>
        <w:tc>
          <w:tcPr>
            <w:tcW w:type="dxa" w:w="1290"/>
            <w:tcMar>
              <w:top w:type="dxa" w:w="90"/>
              <w:left w:type="dxa" w:w="130"/>
              <w:bottom w:type="dxa" w:w="90"/>
              <w:right w:type="dxa" w:w="130"/>
            </w:tcMar>
            <w:vAlign w:val="center"/>
          </w:tcPr>
          <w:p>
            <w:pPr>
              <w:jc w:val="center"/>
            </w:pPr>
            <w:r>
              <w:rPr>
                <w:b w:val="false"/>
                <w:bCs w:val="false"/>
                <w:color w:val="1A1A1A"/>
                <w:sz w:val="20"/>
                <w:szCs w:val="20"/>
              </w:rPr>
              <w:t xml:space="preserve">51.9%</w:t>
            </w:r>
          </w:p>
        </w:tc>
        <w:tc>
          <w:tcPr>
            <w:tcW w:type="dxa" w:w="1290"/>
            <w:tcMar>
              <w:top w:type="dxa" w:w="90"/>
              <w:left w:type="dxa" w:w="130"/>
              <w:bottom w:type="dxa" w:w="90"/>
              <w:right w:type="dxa" w:w="130"/>
            </w:tcMar>
            <w:vAlign w:val="center"/>
          </w:tcPr>
          <w:p>
            <w:pPr>
              <w:jc w:val="center"/>
            </w:pPr>
            <w:r>
              <w:rPr>
                <w:b w:val="false"/>
                <w:bCs w:val="false"/>
                <w:color w:val="1A1A1A"/>
                <w:sz w:val="20"/>
                <w:szCs w:val="20"/>
              </w:rPr>
              <w:t xml:space="preserve">62.1%</w:t>
            </w:r>
          </w:p>
        </w:tc>
        <w:tc>
          <w:tcPr>
            <w:tcW w:type="dxa" w:w="1300"/>
            <w:tcMar>
              <w:top w:type="dxa" w:w="90"/>
              <w:left w:type="dxa" w:w="130"/>
              <w:bottom w:type="dxa" w:w="90"/>
              <w:right w:type="dxa" w:w="130"/>
            </w:tcMar>
            <w:vAlign w:val="center"/>
          </w:tcPr>
          <w:p>
            <w:pPr>
              <w:jc w:val="center"/>
            </w:pPr>
            <w:r>
              <w:rPr>
                <w:b w:val="false"/>
                <w:bCs w:val="false"/>
                <w:color w:val="1A1A1A"/>
                <w:sz w:val="20"/>
                <w:szCs w:val="20"/>
              </w:rPr>
              <w:t xml:space="preserve">68.2%</w:t>
            </w:r>
          </w:p>
        </w:tc>
      </w:tr>
    </w:tbl>
    <w:p>
      <w:pPr>
        <w:pStyle w:val="Heading2"/>
        <w:spacing w:after="140" w:before="300"/>
      </w:pPr>
      <w:r>
        <w:rPr>
          <w:b/>
          <w:bCs/>
          <w:color w:val="44546A"/>
          <w:sz w:val="25"/>
          <w:szCs w:val="25"/>
        </w:rPr>
        <w:t xml:space="preserve">3.2 Net compensation and the cover ratio</w:t>
      </w:r>
    </w:p>
    <w:p>
      <w:pPr>
        <w:spacing w:after="160" w:line="300"/>
        <w:jc w:val="both"/>
      </w:pPr>
      <w:r>
        <w:rPr>
          <w:sz w:val="22"/>
          <w:szCs w:val="22"/>
        </w:rPr>
        <w:t xml:space="preserve">Two figures are reported for every grade: the spread net of expected loss, in basis points, and the ratio of the two, which is scale-free and directly comparable across grades of very different width:</w:t>
      </w:r>
    </w:p>
    <w:p>
      <w:pPr>
        <w:spacing w:after="210" w:before="170"/>
        <w:jc w:val="center"/>
      </w:pPr>
      <m:oMath>
        <m:sSub>
          <m:sSubPr/>
          <m:e>
            <m:r>
              <m:t>Net</m:t>
            </m:r>
          </m:e>
          <m:sub>
            <m:r>
              <m:t>g</m:t>
            </m:r>
          </m:sub>
        </m:sSub>
        <m:r>
          <m:t> = </m:t>
        </m:r>
        <m:sSub>
          <m:sSubPr/>
          <m:e>
            <m:r>
              <m:t>OAS</m:t>
            </m:r>
          </m:e>
          <m:sub>
            <m:r>
              <m:t>g</m:t>
            </m:r>
          </m:sub>
        </m:sSub>
        <m:r>
          <m:t> − </m:t>
        </m:r>
        <m:sSub>
          <m:sSubPr/>
          <m:e>
            <m:r>
              <m:t>EL</m:t>
            </m:r>
          </m:e>
          <m:sub>
            <m:r>
              <m:t>g</m:t>
            </m:r>
          </m:sub>
        </m:sSub>
      </m:oMath>
    </w:p>
    <w:p>
      <w:pPr>
        <w:spacing w:after="210" w:before="170"/>
        <w:jc w:val="center"/>
      </w:pPr>
      <m:oMath>
        <m:sSub>
          <m:sSubPr/>
          <m:e>
            <m:r>
              <m:t>Cover</m:t>
            </m:r>
          </m:e>
          <m:sub>
            <m:r>
              <m:t>g</m:t>
            </m:r>
          </m:sub>
        </m:sSub>
        <m:r>
          <m:t> = </m:t>
        </m:r>
        <m:f>
          <m:num>
            <m:sSub>
              <m:sSubPr/>
              <m:e>
                <m:r>
                  <m:t>OAS</m:t>
                </m:r>
              </m:e>
              <m:sub>
                <m:r>
                  <m:t>g</m:t>
                </m:r>
              </m:sub>
            </m:sSub>
          </m:num>
          <m:den>
            <m:sSub>
              <m:sSubPr/>
              <m:e>
                <m:r>
                  <m:t>EL</m:t>
                </m:r>
              </m:e>
              <m:sub>
                <m:r>
                  <m:t>g</m:t>
                </m:r>
              </m:sub>
            </m:sSub>
          </m:den>
        </m:f>
      </m:oMath>
    </w:p>
    <w:p>
      <w:pPr>
        <w:spacing w:after="160" w:line="300"/>
        <w:jc w:val="both"/>
      </w:pPr>
      <w:r>
        <w:rPr>
          <w:sz w:val="22"/>
          <w:szCs w:val="22"/>
        </w:rPr>
        <w:t xml:space="preserve">A grade whose cover ratio sits below one is a grade priced, by the market, to pay less than its own modelled expected loss — a fact surfaced explicitly rather than folded into a net number that could read as merely thin. The same expected-loss framework prices the extra compensation for stepping one rung down the ladder — the adjacent-grade spread and expected-loss differential — so the marginal price of additional credit risk is visible in the same units as the grade-level figures.</w:t>
      </w:r>
    </w:p>
    <w:p>
      <w:pPr>
        <w:pStyle w:val="Heading1"/>
        <w:pBdr>
          <w:bottom w:val="single" w:color="1F5EFF" w:sz="6" w:space="6"/>
        </w:pBdr>
        <w:spacing w:after="200" w:before="420"/>
      </w:pPr>
      <w:r>
        <w:rPr>
          <w:b/>
          <w:bCs/>
          <w:color w:val="1B2A4A"/>
          <w:sz w:val="30"/>
          <w:szCs w:val="30"/>
        </w:rPr>
        <w:t xml:space="preserve">4. The Forecasting Engine — Vector Autoregression</w:t>
      </w:r>
    </w:p>
    <w:p>
      <w:pPr>
        <w:spacing w:after="160" w:line="300"/>
        <w:jc w:val="both"/>
      </w:pPr>
      <w:r>
        <w:rPr>
          <w:sz w:val="22"/>
          <w:szCs w:val="22"/>
        </w:rPr>
        <w:t xml:space="preserve">Credit and sovereign markets move together: a shock that widens the safest investment-grade spread rarely stays contained there. A forecasting model that treats every series in isolation therefore throws away information the panel already contains about it. The platform's forecasting engine is a vector autoregression (VAR) — every observable series in a panel is regressed on recent lagged values of every series in the same panel, including itself, producing both a joint forecast and an explicit account of how a shock in one series propagates to the rest.</w:t>
      </w:r>
    </w:p>
    <w:p>
      <w:pPr>
        <w:pStyle w:val="Heading2"/>
        <w:spacing w:after="140" w:before="300"/>
      </w:pPr>
      <w:r>
        <w:rPr>
          <w:b/>
          <w:bCs/>
          <w:color w:val="44546A"/>
          <w:sz w:val="25"/>
          <w:szCs w:val="25"/>
        </w:rPr>
        <w:t xml:space="preserve">4.1 Specification</w:t>
      </w:r>
    </w:p>
    <w:p>
      <w:pPr>
        <w:spacing w:after="210" w:before="170"/>
        <w:jc w:val="center"/>
      </w:pPr>
      <m:oMath>
        <m:sSub>
          <m:sSubPr/>
          <m:e>
            <m:r>
              <m:t>y</m:t>
            </m:r>
          </m:e>
          <m:sub>
            <m:r>
              <m:t>t</m:t>
            </m:r>
          </m:sub>
        </m:sSub>
        <m:r>
          <m:t> = c + </m:t>
        </m:r>
        <m:sSub>
          <m:sSubPr/>
          <m:e>
            <m:r>
              <m:t>A</m:t>
            </m:r>
          </m:e>
          <m:sub>
            <m:r>
              <m:t>1</m:t>
            </m:r>
          </m:sub>
        </m:sSub>
        <m:sSub>
          <m:sSubPr/>
          <m:e>
            <m:r>
              <m:t>y</m:t>
            </m:r>
          </m:e>
          <m:sub>
            <m:r>
              <m:t>t-1</m:t>
            </m:r>
          </m:sub>
        </m:sSub>
        <m:r>
          <m:t> + </m:t>
        </m:r>
        <m:sSub>
          <m:sSubPr/>
          <m:e>
            <m:r>
              <m:t>A</m:t>
            </m:r>
          </m:e>
          <m:sub>
            <m:r>
              <m:t>2</m:t>
            </m:r>
          </m:sub>
        </m:sSub>
        <m:sSub>
          <m:sSubPr/>
          <m:e>
            <m:r>
              <m:t>y</m:t>
            </m:r>
          </m:e>
          <m:sub>
            <m:r>
              <m:t>t-2</m:t>
            </m:r>
          </m:sub>
        </m:sSub>
        <m:r>
          <m:t> + … + </m:t>
        </m:r>
        <m:sSub>
          <m:sSubPr/>
          <m:e>
            <m:r>
              <m:t>A</m:t>
            </m:r>
          </m:e>
          <m:sub>
            <m:r>
              <m:t>p</m:t>
            </m:r>
          </m:sub>
        </m:sSub>
        <m:sSub>
          <m:sSubPr/>
          <m:e>
            <m:r>
              <m:t>y</m:t>
            </m:r>
          </m:e>
          <m:sub>
            <m:r>
              <m:t>t-p</m:t>
            </m:r>
          </m:sub>
        </m:sSub>
        <m:r>
          <m:t> + </m:t>
        </m:r>
        <m:sSub>
          <m:sSubPr/>
          <m:e>
            <m:r>
              <m:t>u</m:t>
            </m:r>
          </m:e>
          <m:sub>
            <m:r>
              <m:t>t</m:t>
            </m:r>
          </m:sub>
        </m:sSub>
      </m:oMath>
    </w:p>
    <w:p>
      <w:pPr>
        <w:spacing w:after="160" w:line="300"/>
        <w:jc w:val="both"/>
      </w:pPr>
      <w:r>
        <w:rPr>
          <w:b w:val="false"/>
          <w:bCs w:val="false"/>
          <w:i w:val="false"/>
          <w:iCs w:val="false"/>
          <w:sz w:val="22"/>
          <w:szCs w:val="22"/>
        </w:rPr>
        <w:t xml:space="preserve">with </w:t>
      </w:r>
      <m:oMath>
        <m:sSub>
          <m:sSubPr/>
          <m:e>
            <m:r>
              <m:t>u</m:t>
            </m:r>
          </m:e>
          <m:sub>
            <m:r>
              <m:t>t</m:t>
            </m:r>
          </m:sub>
        </m:sSub>
      </m:oMath>
      <w:r>
        <w:rPr>
          <w:b w:val="false"/>
          <w:bCs w:val="false"/>
          <w:i w:val="false"/>
          <w:iCs w:val="false"/>
          <w:sz w:val="22"/>
          <w:szCs w:val="22"/>
        </w:rPr>
        <w:t xml:space="preserve"> ~ (0, Σ). </w:t>
      </w:r>
      <m:oMath>
        <m:sSub>
          <m:sSubPr/>
          <m:e>
            <m:r>
              <m:t>y</m:t>
            </m:r>
          </m:e>
          <m:sub>
            <m:r>
              <m:t>t</m:t>
            </m:r>
          </m:sub>
        </m:sSub>
      </m:oMath>
      <w:r>
        <w:rPr>
          <w:b w:val="false"/>
          <w:bCs w:val="false"/>
          <w:i w:val="false"/>
          <w:iCs w:val="false"/>
          <w:sz w:val="22"/>
          <w:szCs w:val="22"/>
        </w:rPr>
        <w:t xml:space="preserve"> is the K-vector of observable levels — spreads or yields, in basis points — at time t; each </w:t>
      </w:r>
      <m:oMath>
        <m:sSub>
          <m:sSubPr/>
          <m:e>
            <m:r>
              <m:t>A</m:t>
            </m:r>
          </m:e>
          <m:sub>
            <m:r>
              <m:t>i</m:t>
            </m:r>
          </m:sub>
        </m:sSub>
      </m:oMath>
      <w:r>
        <w:rPr>
          <w:b w:val="false"/>
          <w:bCs w:val="false"/>
          <w:i w:val="false"/>
          <w:iCs w:val="false"/>
          <w:sz w:val="22"/>
          <w:szCs w:val="22"/>
        </w:rPr>
        <w:t xml:space="preserve"> is a K × K coefficient matrix; c is a K-vector intercept; and </w:t>
      </w:r>
      <m:oMath>
        <m:sSub>
          <m:sSubPr/>
          <m:e>
            <m:r>
              <m:t>u</m:t>
            </m:r>
          </m:e>
          <m:sub>
            <m:r>
              <m:t>t</m:t>
            </m:r>
          </m:sub>
        </m:sSub>
      </m:oMath>
      <w:r>
        <w:rPr>
          <w:b w:val="false"/>
          <w:bCs w:val="false"/>
          <w:i w:val="false"/>
          <w:iCs w:val="false"/>
          <w:sz w:val="22"/>
          <w:szCs w:val="22"/>
        </w:rPr>
        <w:t xml:space="preserve"> is the vector of reduced-form shocks at time t, with covariance Σ. The lag order p is a model choice, described below.</w:t>
      </w:r>
    </w:p>
    <w:p>
      <w:pPr>
        <w:pStyle w:val="Heading2"/>
        <w:spacing w:after="140" w:before="300"/>
      </w:pPr>
      <w:r>
        <w:rPr>
          <w:b/>
          <w:bCs/>
          <w:color w:val="44546A"/>
          <w:sz w:val="25"/>
          <w:szCs w:val="25"/>
        </w:rPr>
        <w:t xml:space="preserve">4.2 Estimation</w:t>
      </w:r>
    </w:p>
    <w:p>
      <w:pPr>
        <w:spacing w:after="160" w:line="300"/>
        <w:jc w:val="both"/>
      </w:pPr>
      <w:r>
        <w:rPr>
          <w:sz w:val="22"/>
          <w:szCs w:val="22"/>
        </w:rPr>
        <w:t xml:space="preserve">Each equation is fitted by ordinary least squares, equivalently written for the whole system as one matrix regression once the design matrix X stacks the intercept and every lagged observation:</w:t>
      </w:r>
    </w:p>
    <w:p>
      <w:pPr>
        <w:spacing w:after="210" w:before="170"/>
        <w:jc w:val="center"/>
      </w:pPr>
      <m:oMath>
        <m:r>
          <m:t>B = </m:t>
        </m:r>
        <m:sSup>
          <m:sSupPr/>
          <m:e>
            <m:d>
              <m:dPr/>
              <m:e>
                <m:r>
                  <m:t>X′X</m:t>
                </m:r>
              </m:e>
            </m:d>
          </m:e>
          <m:sup>
            <m:r>
              <m:t>−1</m:t>
            </m:r>
          </m:sup>
        </m:sSup>
        <m:r>
          <m:t>X′Y</m:t>
        </m:r>
      </m:oMath>
    </w:p>
    <w:p>
      <w:pPr>
        <w:pStyle w:val="Heading2"/>
        <w:spacing w:after="140" w:before="300"/>
      </w:pPr>
      <w:r>
        <w:rPr>
          <w:b/>
          <w:bCs/>
          <w:color w:val="44546A"/>
          <w:sz w:val="25"/>
          <w:szCs w:val="25"/>
        </w:rPr>
        <w:t xml:space="preserve">4.3 Lag-order selection</w:t>
      </w:r>
    </w:p>
    <w:p>
      <w:pPr>
        <w:spacing w:after="160" w:line="300"/>
        <w:jc w:val="both"/>
      </w:pPr>
      <w:r>
        <w:rPr>
          <w:sz w:val="22"/>
          <w:szCs w:val="22"/>
        </w:rPr>
        <w:t xml:space="preserve">The lag order is chosen by minimising the Akaike information criterion over a range of candidate lags, each evaluated on the same effective sample — every candidate is fitted after trimming its head to the longest lag under consideration, so a longer lag is never penalised simply for consuming more of the sample than a shorter one would have:</w:t>
      </w:r>
    </w:p>
    <w:p>
      <w:pPr>
        <w:spacing w:after="210" w:before="170"/>
        <w:jc w:val="center"/>
      </w:pPr>
      <m:oMath>
        <m:r>
          <m:t>AIC(p) = ln</m:t>
        </m:r>
        <m:d>
          <m:dPr/>
          <m:e>
            <m:r>
              <m:t>|</m:t>
            </m:r>
            <m:sSub>
              <m:sSubPr/>
              <m:e>
                <m:r>
                  <m:t>Σ</m:t>
                </m:r>
              </m:e>
              <m:sub>
                <m:r>
                  <m:t>MLE</m:t>
                </m:r>
              </m:sub>
            </m:sSub>
            <m:r>
              <m:t>|</m:t>
            </m:r>
          </m:e>
        </m:d>
        <m:r>
          <m:t> + </m:t>
        </m:r>
        <m:f>
          <m:num>
            <m:r>
              <m:t>2</m:t>
            </m:r>
          </m:num>
          <m:den>
            <m:r>
              <m:t>T</m:t>
            </m:r>
          </m:den>
        </m:f>
        <m:d>
          <m:dPr/>
          <m:e>
            <m:r>
              <m:t>p</m:t>
            </m:r>
            <m:sSup>
              <m:sSupPr/>
              <m:e>
                <m:r>
                  <m:t>K</m:t>
                </m:r>
              </m:e>
              <m:sup>
                <m:r>
                  <m:t>2</m:t>
                </m:r>
              </m:sup>
            </m:sSup>
            <m:r>
              <m:t> + K</m:t>
            </m:r>
          </m:e>
        </m:d>
      </m:oMath>
    </w:p>
    <w:p>
      <w:pPr>
        <w:spacing w:after="210" w:before="170"/>
        <w:jc w:val="center"/>
      </w:pPr>
      <m:oMath>
        <m:sSup>
          <m:sSupPr/>
          <m:e>
            <m:r>
              <m:t>p</m:t>
            </m:r>
          </m:e>
          <m:sup>
            <m:r>
              <m:t>*</m:t>
            </m:r>
          </m:sup>
        </m:sSup>
        <m:r>
          <m:t> = </m:t>
        </m:r>
        <m:sSub>
          <m:sSubPr/>
          <m:e>
            <m:r>
              <m:t>argmin</m:t>
            </m:r>
          </m:e>
          <m:sub>
            <m:r>
              <m:t>p</m:t>
            </m:r>
          </m:sub>
        </m:sSub>
        <m:r>
          <m:t> AIC(p)</m:t>
        </m:r>
      </m:oMath>
    </w:p>
    <w:p>
      <w:pPr>
        <w:spacing w:after="160" w:line="300"/>
        <w:jc w:val="both"/>
      </w:pPr>
      <w:r>
        <w:rPr>
          <w:sz w:val="22"/>
          <w:szCs w:val="22"/>
        </w:rPr>
        <w:t xml:space="preserve">The number of estimated parameters is additionally capped relative to the sample size — never more than roughly a fifth of the observations spent on coefficients — because an over-parameterised fit on a short or wide panel (many series, relatively few observations) otherwise selects a lag order that is technically minimal-AIC but produces a companion matrix with a spuriously unstable eigenvalue, as happened during development on an eleven-variable monthly panel with only a few hundred observations.</w:t>
      </w:r>
    </w:p>
    <w:p>
      <w:pPr>
        <w:pStyle w:val="Heading2"/>
        <w:spacing w:after="140" w:before="300"/>
      </w:pPr>
      <w:r>
        <w:rPr>
          <w:b/>
          <w:bCs/>
          <w:color w:val="44546A"/>
          <w:sz w:val="25"/>
          <w:szCs w:val="25"/>
        </w:rPr>
        <w:t xml:space="preserve">4.4 Stability and the forecast horizon</w:t>
      </w:r>
    </w:p>
    <w:p>
      <w:pPr>
        <w:spacing w:after="160" w:line="300"/>
        <w:jc w:val="both"/>
      </w:pPr>
      <w:r>
        <w:rPr>
          <w:sz w:val="22"/>
          <w:szCs w:val="22"/>
        </w:rPr>
        <w:t xml:space="preserve">Written in first-order companion form, a VAR(p) has a single square matrix whose largest eigenvalue modulus ρ — the spectral radius, obtained here by power iteration rather than a full eigendecomposition — governs whether the system is mean-reverting or not:</w:t>
      </w:r>
    </w:p>
    <w:p>
      <w:pPr>
        <w:spacing w:after="90" w:line="290"/>
        <w:ind w:left="340" w:hanging="200"/>
        <w:jc w:val="both"/>
      </w:pPr>
      <w:r>
        <w:rPr>
          <w:b/>
          <w:bCs/>
          <w:color w:val="1F5EFF"/>
          <w:sz w:val="22"/>
          <w:szCs w:val="22"/>
        </w:rPr>
        <w:t xml:space="preserve">— </w:t>
      </w:r>
      <w:r>
        <w:rPr>
          <w:sz w:val="22"/>
          <w:szCs w:val="22"/>
        </w:rPr>
        <w:t xml:space="preserve">ρ &lt; 1 — shocks decay and the process has a long-run mean; the model may be iterated forward some distance and the point forecast remains economically meaningful. In this case the platform still caps the forecast horizon at half the length of the observed sample: stability establishes that a long-run mean exists, not that the sample is long enough to have located it precisely.</w:t>
      </w:r>
    </w:p>
    <w:p>
      <w:pPr>
        <w:spacing w:after="90" w:line="290"/>
        <w:ind w:left="340" w:hanging="200"/>
        <w:jc w:val="both"/>
      </w:pPr>
      <w:r>
        <w:rPr>
          <w:b/>
          <w:bCs/>
          <w:color w:val="1F5EFF"/>
          <w:sz w:val="22"/>
          <w:szCs w:val="22"/>
        </w:rPr>
        <w:t xml:space="preserve">— </w:t>
      </w:r>
      <w:r>
        <w:rPr>
          <w:sz w:val="22"/>
          <w:szCs w:val="22"/>
        </w:rPr>
        <w:t xml:space="preserve">ρ ≥ 1 — shocks do not decay. Iterated far forward, such a model routinely produces economically impossible output — a credit spread forecast to cross zero, or an unbounded level — so the horizon is instead held to a short window, on the order of a month, where the point forecast still says something useful without being read as a long-run projection.</w:t>
      </w:r>
    </w:p>
    <w:p>
      <w:pPr>
        <w:pBdr>
          <w:left w:val="single" w:color="C9CFDA" w:sz="12" w:space="8"/>
        </w:pBdr>
        <w:spacing w:after="220" w:before="60" w:line="280"/>
        <w:ind w:left="260"/>
      </w:pPr>
      <w:r>
        <w:rPr>
          <w:i/>
          <w:iCs/>
          <w:color w:val="5B6472"/>
          <w:sz w:val="20"/>
          <w:szCs w:val="20"/>
        </w:rPr>
        <w:t xml:space="preserve">On the live US corporate credit panel, three years of available spread history (an exchange-index licensing limit on the upstream data, not a platform choice) produces a spectral radius fractionally above one; the platform reports this explicitly and caps that panel's horizon accordingly, rather than presenting a spread forecast running for years on a model that cannot support it. The euro-area and broader sovereign panels, with multi-decade monthly histories, are comfortably stable and are allowed to run much further.</w:t>
      </w:r>
    </w:p>
    <w:p>
      <w:pPr>
        <w:pStyle w:val="Heading2"/>
        <w:spacing w:after="140" w:before="300"/>
      </w:pPr>
      <w:r>
        <w:rPr>
          <w:b/>
          <w:bCs/>
          <w:color w:val="44546A"/>
          <w:sz w:val="25"/>
          <w:szCs w:val="25"/>
        </w:rPr>
        <w:t xml:space="preserve">4.5 The moving-average representation</w:t>
      </w:r>
    </w:p>
    <w:p>
      <w:pPr>
        <w:spacing w:after="160" w:line="300"/>
        <w:jc w:val="both"/>
      </w:pPr>
      <w:r>
        <w:rPr>
          <w:sz w:val="22"/>
          <w:szCs w:val="22"/>
        </w:rPr>
        <w:t xml:space="preserve">Every quantity the platform derives from the fitted VAR beyond the point forecast — the width of a forecast band, the propagation of a shock, the volatility used to price an option — comes from the same underlying object: the infinite moving-average representation of the fitted system, and its orthogonalised form.</w:t>
      </w:r>
    </w:p>
    <w:p>
      <w:pPr>
        <w:spacing w:after="210" w:before="170"/>
        <w:jc w:val="center"/>
      </w:pPr>
      <m:oMath>
        <m:sSub>
          <m:sSubPr/>
          <m:e>
            <m:r>
              <m:t>Ψ</m:t>
            </m:r>
          </m:e>
          <m:sub>
            <m:r>
              <m:t>0</m:t>
            </m:r>
          </m:sub>
        </m:sSub>
        <m:r>
          <m:t> = I,        </m:t>
        </m:r>
        <m:sSub>
          <m:sSubPr/>
          <m:e>
            <m:r>
              <m:t>Ψ</m:t>
            </m:r>
          </m:e>
          <m:sub>
            <m:r>
              <m:t>i</m:t>
            </m:r>
          </m:sub>
        </m:sSub>
        <m:r>
          <m:t> = </m:t>
        </m:r>
        <m:nary>
          <m:naryPr>
            <m:chr m:val="∑"/>
            <m:limLoc m:val="undOvr"/>
          </m:naryPr>
          <m:sub>
            <m:r>
              <m:t>j=1</m:t>
            </m:r>
          </m:sub>
          <m:sup>
            <m:r>
              <m:t>min(i,p)</m:t>
            </m:r>
          </m:sup>
          <m:e>
            <m:sSub>
              <m:sSubPr/>
              <m:e>
                <m:r>
                  <m:t>A</m:t>
                </m:r>
              </m:e>
              <m:sub>
                <m:r>
                  <m:t>j</m:t>
                </m:r>
              </m:sub>
            </m:sSub>
            <m:sSub>
              <m:sSubPr/>
              <m:e>
                <m:r>
                  <m:t>Ψ</m:t>
                </m:r>
              </m:e>
              <m:sub>
                <m:r>
                  <m:t>i−j</m:t>
                </m:r>
              </m:sub>
            </m:sSub>
          </m:e>
        </m:nary>
      </m:oMath>
    </w:p>
    <w:p>
      <w:pPr>
        <w:spacing w:after="160" w:line="300"/>
        <w:jc w:val="both"/>
      </w:pPr>
      <w:r>
        <w:rPr>
          <w:sz w:val="22"/>
          <w:szCs w:val="22"/>
        </w:rPr>
        <w:t xml:space="preserve">Orthogonalising by the Cholesky factor P of the shock covariance, Σ = PP′, gives the response to a one-standard-deviation, contemporaneously uncorrelated structural shock:</w:t>
      </w:r>
    </w:p>
    <w:p>
      <w:pPr>
        <w:spacing w:after="210" w:before="170"/>
        <w:jc w:val="center"/>
      </w:pPr>
      <m:oMath>
        <m:sSub>
          <m:sSubPr/>
          <m:e>
            <m:r>
              <m:t>Θ</m:t>
            </m:r>
          </m:e>
          <m:sub>
            <m:r>
              <m:t>i</m:t>
            </m:r>
          </m:sub>
        </m:sSub>
        <m:r>
          <m:t> = </m:t>
        </m:r>
        <m:sSub>
          <m:sSubPr/>
          <m:e>
            <m:r>
              <m:t>Ψ</m:t>
            </m:r>
          </m:e>
          <m:sub>
            <m:r>
              <m:t>i</m:t>
            </m:r>
          </m:sub>
        </m:sSub>
        <m:r>
          <m:t>P</m:t>
        </m:r>
      </m:oMath>
    </w:p>
    <w:p>
      <w:pPr>
        <w:spacing w:after="160" w:line="300"/>
        <w:jc w:val="both"/>
      </w:pPr>
      <w:r>
        <w:rPr>
          <w:sz w:val="22"/>
          <w:szCs w:val="22"/>
        </w:rPr>
        <w:t xml:space="preserve">and the h-step-ahead forecast-error covariance, which sets the width of every uncertainty band the platform draws:</w:t>
      </w:r>
    </w:p>
    <w:p>
      <w:pPr>
        <w:spacing w:after="210" w:before="170"/>
        <w:jc w:val="center"/>
      </w:pPr>
      <m:oMath>
        <m:r>
          <m:t>Σ(h) = </m:t>
        </m:r>
        <m:nary>
          <m:naryPr>
            <m:chr m:val="∑"/>
            <m:limLoc m:val="undOvr"/>
          </m:naryPr>
          <m:sub>
            <m:r>
              <m:t>i=0</m:t>
            </m:r>
          </m:sub>
          <m:sup>
            <m:r>
              <m:t>h−1</m:t>
            </m:r>
          </m:sup>
          <m:e>
            <m:sSub>
              <m:sSubPr/>
              <m:e>
                <m:r>
                  <m:t>Ψ</m:t>
                </m:r>
              </m:e>
              <m:sub>
                <m:r>
                  <m:t>i</m:t>
                </m:r>
              </m:sub>
            </m:sSub>
            <m:sSub>
              <m:sSubPr/>
              <m:e>
                <m:r>
                  <m:t>Σ</m:t>
                </m:r>
              </m:e>
              <m:sub>
                <m:r>
                  <m:t>u</m:t>
                </m:r>
              </m:sub>
            </m:sSub>
            <m:sSub>
              <m:sSubPr/>
              <m:e>
                <m:r>
                  <m:t>Ψ′</m:t>
                </m:r>
              </m:e>
              <m:sub>
                <m:r>
                  <m:t>i</m:t>
                </m:r>
              </m:sub>
            </m:sSub>
          </m:e>
        </m:nary>
      </m:oMath>
    </w:p>
    <w:p>
      <w:pPr>
        <w:pStyle w:val="Heading1"/>
        <w:pBdr>
          <w:bottom w:val="single" w:color="1F5EFF" w:sz="6" w:space="6"/>
        </w:pBdr>
        <w:spacing w:after="200" w:before="420"/>
      </w:pPr>
      <w:r>
        <w:rPr>
          <w:b/>
          <w:bCs/>
          <w:color w:val="1B2A4A"/>
          <w:sz w:val="30"/>
          <w:szCs w:val="30"/>
        </w:rPr>
        <w:t xml:space="preserve">5. Driving-Metric Analysis — Forecast-Error Variance Decomposition</w:t>
      </w:r>
    </w:p>
    <w:p>
      <w:pPr>
        <w:spacing w:after="160" w:line="300"/>
        <w:jc w:val="both"/>
      </w:pPr>
      <w:r>
        <w:rPr>
          <w:sz w:val="22"/>
          <w:szCs w:val="22"/>
        </w:rPr>
        <w:t xml:space="preserve">Beyond forecasting a series, the same fitted vector autoregression can attribute WHY its forecast is uncertain: of everything the model cannot predict about one series at a given horizon, what share of that uncertainty traces back to shocks originating in each of the other series in the panel. This is the platform's driving-metric analysis, and it is genuinely a property of the fitted model — not a correlation computed separately on the raw data.</w:t>
      </w:r>
    </w:p>
    <w:p>
      <w:pPr>
        <w:pStyle w:val="Heading2"/>
        <w:spacing w:after="140" w:before="300"/>
      </w:pPr>
      <w:r>
        <w:rPr>
          <w:b/>
          <w:bCs/>
          <w:color w:val="44546A"/>
          <w:sz w:val="25"/>
          <w:szCs w:val="25"/>
        </w:rPr>
        <w:t xml:space="preserve">5.1 The decomposition</w:t>
      </w:r>
    </w:p>
    <w:p>
      <w:pPr>
        <w:spacing w:after="210" w:before="170"/>
        <w:jc w:val="center"/>
      </w:pPr>
      <m:oMath>
        <m:sSub>
          <m:sSubPr/>
          <m:e>
            <m:r>
              <m:t>FEVD</m:t>
            </m:r>
          </m:e>
          <m:sub>
            <m:r>
              <m:t>ij</m:t>
            </m:r>
          </m:sub>
        </m:sSub>
        <m:r>
          <m:t>(H) = </m:t>
        </m:r>
        <m:f>
          <m:num>
            <m:nary>
              <m:naryPr>
                <m:chr m:val="∑"/>
                <m:limLoc m:val="undOvr"/>
              </m:naryPr>
              <m:sub>
                <m:r>
                  <m:t>h=0</m:t>
                </m:r>
              </m:sub>
              <m:sup>
                <m:r>
                  <m:t>H−1</m:t>
                </m:r>
              </m:sup>
              <m:e>
                <m:sSup>
                  <m:sSupPr/>
                  <m:e>
                    <m:sSub>
                      <m:sSubPr/>
                      <m:e>
                        <m:r>
                          <m:t>θ</m:t>
                        </m:r>
                      </m:e>
                      <m:sub>
                        <m:r>
                          <m:t>ij</m:t>
                        </m:r>
                      </m:sub>
                    </m:sSub>
                    <m:r>
                      <m:t>(h)</m:t>
                    </m:r>
                  </m:e>
                  <m:sup>
                    <m:r>
                      <m:t>2</m:t>
                    </m:r>
                  </m:sup>
                </m:sSup>
              </m:e>
            </m:nary>
          </m:num>
          <m:den>
            <m:nary>
              <m:naryPr>
                <m:chr m:val="∑"/>
                <m:limLoc m:val="undOvr"/>
              </m:naryPr>
              <m:sub>
                <m:r>
                  <m:t>j,  h=0</m:t>
                </m:r>
              </m:sub>
              <m:sup>
                <m:r>
                  <m:t>H−1</m:t>
                </m:r>
              </m:sup>
              <m:e>
                <m:sSup>
                  <m:sSupPr/>
                  <m:e>
                    <m:sSub>
                      <m:sSubPr/>
                      <m:e>
                        <m:r>
                          <m:t>θ</m:t>
                        </m:r>
                      </m:e>
                      <m:sub>
                        <m:r>
                          <m:t>ij</m:t>
                        </m:r>
                      </m:sub>
                    </m:sSub>
                    <m:r>
                      <m:t>(h)</m:t>
                    </m:r>
                  </m:e>
                  <m:sup>
                    <m:r>
                      <m:t>2</m:t>
                    </m:r>
                  </m:sup>
                </m:sSup>
              </m:e>
            </m:nary>
          </m:den>
        </m:f>
      </m:oMath>
    </w:p>
    <w:p>
      <w:pPr>
        <w:spacing w:after="160" w:line="300"/>
        <w:jc w:val="both"/>
      </w:pPr>
      <w:r>
        <w:rPr>
          <w:b w:val="false"/>
          <w:bCs w:val="false"/>
          <w:i w:val="false"/>
          <w:iCs w:val="false"/>
          <w:sz w:val="22"/>
          <w:szCs w:val="22"/>
        </w:rPr>
        <w:t xml:space="preserve">where </w:t>
      </w:r>
      <m:oMath>
        <m:sSub>
          <m:sSubPr/>
          <m:e>
            <m:r>
              <m:t>θ</m:t>
            </m:r>
          </m:e>
          <m:sub>
            <m:r>
              <m:t>ij</m:t>
            </m:r>
          </m:sub>
        </m:sSub>
        <m:r>
          <m:t>(h)</m:t>
        </m:r>
      </m:oMath>
      <w:r>
        <w:rPr>
          <w:b w:val="false"/>
          <w:bCs w:val="false"/>
          <w:i w:val="false"/>
          <w:iCs w:val="false"/>
          <w:sz w:val="22"/>
          <w:szCs w:val="22"/>
        </w:rPr>
        <w:t xml:space="preserve"> is the (i, j) entry of the orthogonalised response matrix at step h. In words: the share of series i's forecast-error variance at horizon H that is attributable to shocks in series j, summed and normalised across every step out to H.</w:t>
      </w:r>
    </w:p>
    <w:p>
      <w:pPr>
        <w:pStyle w:val="Heading2"/>
        <w:spacing w:after="140" w:before="300"/>
      </w:pPr>
      <w:r>
        <w:rPr>
          <w:b/>
          <w:bCs/>
          <w:color w:val="44546A"/>
          <w:sz w:val="25"/>
          <w:szCs w:val="25"/>
        </w:rPr>
        <w:t xml:space="preserve">5.2 Ordering dependence, stated rather than hidden</w:t>
      </w:r>
    </w:p>
    <w:p>
      <w:pPr>
        <w:spacing w:after="160" w:line="300"/>
        <w:jc w:val="both"/>
      </w:pPr>
      <w:r>
        <w:rPr>
          <w:sz w:val="22"/>
          <w:szCs w:val="22"/>
        </w:rPr>
        <w:t xml:space="preserve">Cholesky orthogonalisation is not invariant to the order the series are listed in: it assumes a series earlier in the ordering can affect a later one contemporaneously, but not the reverse. This is a genuine causal assumption, not a neutral computation, and the platform states the ordering used alongside every decomposition rather than presenting the result as ordering-free. Credit-grade panels are ordered from safest to riskiest — the conventional reading that a shock to the safest grade can move every other grade within the period, but a shock originating in a distressed grade does not move the safest grade contemporaneously. Sovereign panels are ordered core-economy first for the same reason.</w:t>
      </w:r>
    </w:p>
    <w:p>
      <w:pPr>
        <w:pStyle w:val="Heading2"/>
        <w:spacing w:after="140" w:before="300"/>
      </w:pPr>
      <w:r>
        <w:rPr>
          <w:b/>
          <w:bCs/>
          <w:color w:val="44546A"/>
          <w:sz w:val="25"/>
          <w:szCs w:val="25"/>
        </w:rPr>
        <w:t xml:space="preserve">5.3 What is reported</w:t>
      </w:r>
    </w:p>
    <w:p>
      <w:pPr>
        <w:spacing w:after="90" w:line="290"/>
        <w:ind w:left="340" w:hanging="200"/>
        <w:jc w:val="both"/>
      </w:pPr>
      <w:r>
        <w:rPr>
          <w:b/>
          <w:bCs/>
          <w:color w:val="1F5EFF"/>
          <w:sz w:val="22"/>
          <w:szCs w:val="22"/>
        </w:rPr>
        <w:t xml:space="preserve">— </w:t>
      </w:r>
      <w:r>
        <w:rPr>
          <w:sz w:val="22"/>
          <w:szCs w:val="22"/>
        </w:rPr>
        <w:t xml:space="preserve">for every series: the largest external source of its own forecast-error variance (its “driver”), and the fraction of variance that is purely self-explained (“own share”);</w:t>
      </w:r>
    </w:p>
    <w:p>
      <w:pPr>
        <w:spacing w:after="90" w:line="290"/>
        <w:ind w:left="340" w:hanging="200"/>
        <w:jc w:val="both"/>
      </w:pPr>
      <w:r>
        <w:rPr>
          <w:b/>
          <w:bCs/>
          <w:color w:val="1F5EFF"/>
          <w:sz w:val="22"/>
          <w:szCs w:val="22"/>
        </w:rPr>
        <w:t xml:space="preserve">— </w:t>
      </w:r>
      <w:r>
        <w:rPr>
          <w:sz w:val="22"/>
          <w:szCs w:val="22"/>
        </w:rPr>
        <w:t xml:space="preserve">the per-equation coefficient of determination — one minus the ratio of residual to total variance on the fitted equation — reported alongside so a low-fit equation's decomposition is read with appropriate caution;</w:t>
      </w:r>
    </w:p>
    <w:p>
      <w:pPr>
        <w:spacing w:after="90" w:line="290"/>
        <w:ind w:left="340" w:hanging="200"/>
        <w:jc w:val="both"/>
      </w:pPr>
      <w:r>
        <w:rPr>
          <w:b/>
          <w:bCs/>
          <w:color w:val="1F5EFF"/>
          <w:sz w:val="22"/>
          <w:szCs w:val="22"/>
        </w:rPr>
        <w:t xml:space="preserve">— </w:t>
      </w:r>
      <w:r>
        <w:rPr>
          <w:sz w:val="22"/>
          <w:szCs w:val="22"/>
        </w:rPr>
        <w:t xml:space="preserve">a panel-wide ranking of which single series explains the most variance across all the others, on average — the shock the rest of the panel is effectively listening to.</w:t>
      </w:r>
    </w:p>
    <w:p>
      <w:pPr>
        <w:pStyle w:val="Heading1"/>
        <w:pBdr>
          <w:bottom w:val="single" w:color="1F5EFF" w:sz="6" w:space="6"/>
        </w:pBdr>
        <w:spacing w:after="200" w:before="420"/>
      </w:pPr>
      <w:r>
        <w:rPr>
          <w:b/>
          <w:bCs/>
          <w:color w:val="1B2A4A"/>
          <w:sz w:val="30"/>
          <w:szCs w:val="30"/>
        </w:rPr>
        <w:t xml:space="preserve">6. Simulating the Forecast — Residual Bootstrap</w:t>
      </w:r>
    </w:p>
    <w:p>
      <w:pPr>
        <w:spacing w:after="160" w:line="300"/>
        <w:jc w:val="both"/>
      </w:pPr>
      <w:r>
        <w:rPr>
          <w:sz w:val="22"/>
          <w:szCs w:val="22"/>
        </w:rPr>
        <w:t xml:space="preserve">A vector autoregression's point forecast is, by construction, the conditional MEAN of every possible future path. Displaying only that mean averages the fluctuation out of the picture: a real holding period does not travel smoothly along the expected path, it wanders around it. To show that honestly, the platform simulates many concrete possible futures from the fitted model rather than presenting the mean alone.</w:t>
      </w:r>
    </w:p>
    <w:p>
      <w:pPr>
        <w:pStyle w:val="Heading2"/>
        <w:spacing w:after="140" w:before="300"/>
      </w:pPr>
      <w:r>
        <w:rPr>
          <w:b/>
          <w:bCs/>
          <w:color w:val="44546A"/>
          <w:sz w:val="25"/>
          <w:szCs w:val="25"/>
        </w:rPr>
        <w:t xml:space="preserve">6.1 Why not simply add Gaussian noise</w:t>
      </w:r>
    </w:p>
    <w:p>
      <w:pPr>
        <w:spacing w:after="160" w:line="300"/>
        <w:jc w:val="both"/>
      </w:pPr>
      <w:r>
        <w:rPr>
          <w:sz w:val="22"/>
          <w:szCs w:val="22"/>
        </w:rPr>
        <w:t xml:space="preserve">The most direct way to simulate a fitted VAR forward is to iterate the recursion and add an independent draw from a multivariate normal distribution with the fitted covariance at each step. This was rejected because it silently assumes the shocks are normally distributed and independent across periods, discarding two things the real data has and a Gaussian does not: fat tails and skew — a credit sell-off has historically been a sharper, more asymmetric move than a rally of the same nominal size — and, more importantly, the model's own exact realised cross-sectional dependence, i.e. which combinations of moves in different grades actually occur together, as opposed to merely their average covariance.</w:t>
      </w:r>
    </w:p>
    <w:p>
      <w:pPr>
        <w:pStyle w:val="Heading2"/>
        <w:spacing w:after="140" w:before="300"/>
      </w:pPr>
      <w:r>
        <w:rPr>
          <w:b/>
          <w:bCs/>
          <w:color w:val="44546A"/>
          <w:sz w:val="25"/>
          <w:szCs w:val="25"/>
        </w:rPr>
        <w:t xml:space="preserve">6.2 Residual bootstrap</w:t>
      </w:r>
    </w:p>
    <w:p>
      <w:pPr>
        <w:spacing w:after="160" w:line="300"/>
        <w:jc w:val="both"/>
      </w:pPr>
      <w:r>
        <w:rPr>
          <w:sz w:val="22"/>
          <w:szCs w:val="22"/>
        </w:rPr>
        <w:t xml:space="preserve">Instead, each simulated step draws a WHOLE ROW, uniformly at random and with replacement, from the model's own matrix of fitted residuals, and adds that entire row — not one series' worth of noise drawn independently — to the recursion:</w:t>
      </w:r>
    </w:p>
    <w:p>
      <w:pPr>
        <w:spacing w:after="210" w:before="170"/>
        <w:jc w:val="center"/>
      </w:pPr>
      <m:oMath>
        <m:sSub>
          <m:sSubPr/>
          <m:e>
            <m:r>
              <m:t>ŷ</m:t>
            </m:r>
          </m:e>
          <m:sub>
            <m:r>
              <m:t>t+1</m:t>
            </m:r>
          </m:sub>
        </m:sSub>
        <m:r>
          <m:t> = ĉ + </m:t>
        </m:r>
        <m:nary>
          <m:naryPr>
            <m:chr m:val="∑"/>
            <m:limLoc m:val="undOvr"/>
          </m:naryPr>
          <m:sub>
            <m:r>
              <m:t>i=1</m:t>
            </m:r>
          </m:sub>
          <m:sup>
            <m:r>
              <m:t>p</m:t>
            </m:r>
          </m:sup>
          <m:e>
            <m:sSub>
              <m:sSubPr/>
              <m:e>
                <m:r>
                  <m:t>Â</m:t>
                </m:r>
              </m:e>
              <m:sub>
                <m:r>
                  <m:t>i</m:t>
                </m:r>
              </m:sub>
            </m:sSub>
            <m:sSub>
              <m:sSubPr/>
              <m:e>
                <m:r>
                  <m:t>ŷ</m:t>
                </m:r>
              </m:e>
              <m:sub>
                <m:r>
                  <m:t>t+1−i</m:t>
                </m:r>
              </m:sub>
            </m:sSub>
          </m:e>
        </m:nary>
        <m:r>
          <m:t> + </m:t>
        </m:r>
        <m:sSubSup>
          <m:sSubSupPr/>
          <m:e>
            <m:r>
              <m:t>ε</m:t>
            </m:r>
          </m:e>
          <m:sub>
            <m:r>
              <m:t>t</m:t>
            </m:r>
          </m:sub>
          <m:sup>
            <m:r>
              <m:t>*</m:t>
            </m:r>
          </m:sup>
        </m:sSubSup>
      </m:oMath>
    </w:p>
    <w:p>
      <w:pPr>
        <w:spacing w:after="160" w:line="300"/>
        <w:jc w:val="both"/>
      </w:pPr>
      <w:r>
        <w:rPr>
          <w:b w:val="false"/>
          <w:bCs w:val="false"/>
          <w:i w:val="false"/>
          <w:iCs w:val="false"/>
          <w:sz w:val="22"/>
          <w:szCs w:val="22"/>
        </w:rPr>
        <w:t xml:space="preserve">with </w:t>
      </w:r>
      <m:oMath>
        <m:sSubSup>
          <m:sSubSupPr/>
          <m:e>
            <m:r>
              <m:t>ε</m:t>
            </m:r>
          </m:e>
          <m:sub>
            <m:r>
              <m:t>t</m:t>
            </m:r>
          </m:sub>
          <m:sup>
            <m:r>
              <m:t>*</m:t>
            </m:r>
          </m:sup>
        </m:sSubSup>
      </m:oMath>
      <w:r>
        <w:rPr>
          <w:b w:val="false"/>
          <w:bCs w:val="false"/>
          <w:i w:val="false"/>
          <w:iCs w:val="false"/>
          <w:sz w:val="22"/>
          <w:szCs w:val="22"/>
        </w:rPr>
        <w:t xml:space="preserve"> a row of the fitted residual matrix chosen uniformly at random. Because the row is drawn intact, every series moves together exactly the way they moved on the historical day that row came from — the joint shock structure is preserved exactly as realised, not merely matched in its second moment. The recursion is iterated forward one native-frequency observation at a time — daily for credit panels, monthly for sovereign panels — out to the model's forecast horizon, independently, several hundred to several thousand times per instrument.</w:t>
      </w:r>
    </w:p>
    <w:p>
      <w:pPr>
        <w:pStyle w:val="Heading2"/>
        <w:spacing w:after="140" w:before="300"/>
      </w:pPr>
      <w:r>
        <w:rPr>
          <w:b/>
          <w:bCs/>
          <w:color w:val="44546A"/>
          <w:sz w:val="25"/>
          <w:szCs w:val="25"/>
        </w:rPr>
        <w:t xml:space="preserve">6.3 What is displayed</w:t>
      </w:r>
    </w:p>
    <w:p>
      <w:pPr>
        <w:spacing w:after="160" w:line="300"/>
        <w:jc w:val="both"/>
      </w:pPr>
      <w:r>
        <w:rPr>
          <w:sz w:val="22"/>
          <w:szCs w:val="22"/>
        </w:rPr>
        <w:t xml:space="preserve">From the resulting set of simulated paths, three things are shown together at every date on the forecast horizon:</w:t>
      </w:r>
    </w:p>
    <w:p>
      <w:pPr>
        <w:spacing w:after="90" w:line="290"/>
        <w:ind w:left="340" w:hanging="200"/>
        <w:jc w:val="both"/>
      </w:pPr>
      <w:r>
        <w:rPr>
          <w:b/>
          <w:bCs/>
          <w:color w:val="1F5EFF"/>
          <w:sz w:val="22"/>
          <w:szCs w:val="22"/>
        </w:rPr>
        <w:t xml:space="preserve">— </w:t>
      </w:r>
      <w:r>
        <w:rPr>
          <w:sz w:val="22"/>
          <w:szCs w:val="22"/>
        </w:rPr>
        <w:t xml:space="preserve">the cross-path MEDIAN at each date — chosen over the mean specifically because it is robust to the same skew the bootstrap deliberately preserves;</w:t>
      </w:r>
    </w:p>
    <w:p>
      <w:pPr>
        <w:spacing w:after="90" w:line="290"/>
        <w:ind w:left="340" w:hanging="200"/>
        <w:jc w:val="both"/>
      </w:pPr>
      <w:r>
        <w:rPr>
          <w:b/>
          <w:bCs/>
          <w:color w:val="1F5EFF"/>
          <w:sz w:val="22"/>
          <w:szCs w:val="22"/>
        </w:rPr>
        <w:t xml:space="preserve">— </w:t>
      </w:r>
      <w:r>
        <w:rPr>
          <w:sz w:val="22"/>
          <w:szCs w:val="22"/>
        </w:rPr>
        <w:t xml:space="preserve">a shaded band spanning the 10th to 90th percentile of the same cross-section at each date;</w:t>
      </w:r>
    </w:p>
    <w:p>
      <w:pPr>
        <w:spacing w:after="90" w:line="290"/>
        <w:ind w:left="340" w:hanging="200"/>
        <w:jc w:val="both"/>
      </w:pPr>
      <w:r>
        <w:rPr>
          <w:b/>
          <w:bCs/>
          <w:color w:val="1F5EFF"/>
          <w:sz w:val="22"/>
          <w:szCs w:val="22"/>
        </w:rPr>
        <w:t xml:space="preserve">— </w:t>
      </w:r>
      <w:r>
        <w:rPr>
          <w:sz w:val="22"/>
          <w:szCs w:val="22"/>
        </w:rPr>
        <w:t xml:space="preserve">one simulated path, selected once and then held fixed, carried through the entire horizon untouched — a single concrete illustrative future, because a percentile band is computed pointwise in time and therefore blends paths that never actually coexisted; only an individual path can show a plausible trajectory's real up-and-down movement.</w:t>
      </w:r>
    </w:p>
    <w:p>
      <w:pPr>
        <w:pBdr>
          <w:left w:val="single" w:color="C9CFDA" w:sz="12" w:space="8"/>
        </w:pBdr>
        <w:spacing w:after="220" w:before="60" w:line="280"/>
        <w:ind w:left="260"/>
      </w:pPr>
      <w:r>
        <w:rPr>
          <w:i/>
          <w:iCs/>
          <w:color w:val="5B6472"/>
          <w:sz w:val="20"/>
          <w:szCs w:val="20"/>
        </w:rPr>
        <w:t xml:space="preserve">Recorded at native frequency rather than sub-sampled: a one-month window onto a daily panel still contains dozens of simulated points, so the day-to-day carry-and-price accrual of Section 2 compounds forward correctly rather than being approximated by a small number of coarse steps.</w:t>
      </w:r>
    </w:p>
    <w:p>
      <w:pPr>
        <w:pStyle w:val="Heading1"/>
        <w:pBdr>
          <w:bottom w:val="single" w:color="1F5EFF" w:sz="6" w:space="6"/>
        </w:pBdr>
        <w:spacing w:after="200" w:before="420"/>
      </w:pPr>
      <w:r>
        <w:rPr>
          <w:b/>
          <w:bCs/>
          <w:color w:val="1B2A4A"/>
          <w:sz w:val="30"/>
          <w:szCs w:val="30"/>
        </w:rPr>
        <w:t xml:space="preserve">7. Pricing a Volatility Position — the Bachelier Option Model</w:t>
      </w:r>
    </w:p>
    <w:p>
      <w:pPr>
        <w:spacing w:after="160" w:line="300"/>
        <w:jc w:val="both"/>
      </w:pPr>
      <w:r>
        <w:rPr>
          <w:sz w:val="22"/>
          <w:szCs w:val="22"/>
        </w:rPr>
        <w:t xml:space="preserve">Wherever the platform prices the value of holding an at-the-money straddle on a spread or a yield, it uses the Bachelier (arithmetic, or “normal”) option-pricing model rather than Black-Scholes. The underlying here is quoted additively, in basis points, and is free to go negative — a credit spread can compress close to zero and a government yield has, in the recent rate environment, occasionally traded below zero. Black-Scholes assumes a strictly positive, lognormally distributed underlying; Bachelier's normal model does not, and is the standard choice in rates and spread option markets for exactly this reason.</w:t>
      </w:r>
    </w:p>
    <w:p>
      <w:pPr>
        <w:pStyle w:val="Heading2"/>
        <w:spacing w:after="140" w:before="300"/>
      </w:pPr>
      <w:r>
        <w:rPr>
          <w:b/>
          <w:bCs/>
          <w:color w:val="44546A"/>
          <w:sz w:val="25"/>
          <w:szCs w:val="25"/>
        </w:rPr>
        <w:t xml:space="preserve">7.1 The normal-model straddle</w:t>
      </w:r>
    </w:p>
    <w:p>
      <w:pPr>
        <w:spacing w:after="160" w:line="300"/>
        <w:jc w:val="both"/>
      </w:pPr>
      <w:r>
        <w:rPr>
          <w:b w:val="false"/>
          <w:bCs w:val="false"/>
          <w:i w:val="false"/>
          <w:iCs w:val="false"/>
          <w:sz w:val="22"/>
          <w:szCs w:val="22"/>
        </w:rPr>
        <w:t xml:space="preserve">Writing the forward level as F, the strike as K, moneyness x = F − K, and remaining volatility </w:t>
      </w:r>
      <m:oMath>
        <m:r>
          <m:t>v = σ</m:t>
        </m:r>
        <m:rad>
          <m:radPr>
            <m:degHide m:val="1"/>
          </m:radPr>
          <m:deg/>
          <m:e>
            <m:r>
              <m:t>τ</m:t>
            </m:r>
          </m:e>
        </m:rad>
      </m:oMath>
      <w:r>
        <w:rPr>
          <w:b w:val="false"/>
          <w:bCs w:val="false"/>
          <w:i w:val="false"/>
          <w:iCs w:val="false"/>
          <w:sz w:val="22"/>
          <w:szCs w:val="22"/>
        </w:rPr>
        <w:t xml:space="preserve"> over time-to-expiry τ, the value of an at-the-money straddle under the normal model is:</w:t>
      </w:r>
    </w:p>
    <w:p>
      <w:pPr>
        <w:spacing w:after="210" w:before="170"/>
        <w:jc w:val="center"/>
      </w:pPr>
      <m:oMath>
        <m:r>
          <m:t>V(x, v) = x</m:t>
        </m:r>
        <m:d>
          <m:dPr/>
          <m:e>
            <m:r>
              <m:t>2Φ</m:t>
            </m:r>
            <m:d>
              <m:dPr/>
              <m:e>
                <m:r>
                  <m:t>x/v</m:t>
                </m:r>
              </m:e>
            </m:d>
            <m:r>
              <m:t> − 1</m:t>
            </m:r>
          </m:e>
        </m:d>
        <m:r>
          <m:t> + 2vφ</m:t>
        </m:r>
        <m:d>
          <m:dPr/>
          <m:e>
            <m:r>
              <m:t>x/v</m:t>
            </m:r>
          </m:e>
        </m:d>
      </m:oMath>
    </w:p>
    <w:p>
      <w:pPr>
        <w:spacing w:after="160" w:line="300"/>
        <w:jc w:val="both"/>
      </w:pPr>
      <w:r>
        <w:rPr>
          <w:b w:val="false"/>
          <w:bCs w:val="false"/>
          <w:i w:val="false"/>
          <w:iCs w:val="false"/>
          <w:sz w:val="22"/>
          <w:szCs w:val="22"/>
        </w:rPr>
        <w:t xml:space="preserve">where φ and Φ are the standard normal density and cumulative distribution function. Struck exactly at today's level (x = 0), this collapses to the familiar closed form </w:t>
      </w:r>
      <m:oMath>
        <m:r>
          <m:t>V(0, v) = v</m:t>
        </m:r>
        <m:rad>
          <m:radPr>
            <m:degHide m:val="1"/>
          </m:radPr>
          <m:deg/>
          <m:e>
            <m:f>
              <m:num>
                <m:r>
                  <m:t>2</m:t>
                </m:r>
              </m:num>
              <m:den>
                <m:r>
                  <m:t>π</m:t>
                </m:r>
              </m:den>
            </m:f>
          </m:e>
        </m:rad>
      </m:oMath>
      <w:r>
        <w:rPr>
          <w:b w:val="false"/>
          <w:bCs w:val="false"/>
          <w:i w:val="false"/>
          <w:iCs w:val="false"/>
          <w:sz w:val="22"/>
          <w:szCs w:val="22"/>
        </w:rPr>
        <w:t xml:space="preserve"> — the fair premium of an at-the-money straddle.</w:t>
      </w:r>
    </w:p>
    <w:p>
      <w:pPr>
        <w:pStyle w:val="Heading2"/>
        <w:spacing w:after="140" w:before="300"/>
      </w:pPr>
      <w:r>
        <w:rPr>
          <w:b/>
          <w:bCs/>
          <w:color w:val="44546A"/>
          <w:sz w:val="25"/>
          <w:szCs w:val="25"/>
        </w:rPr>
        <w:t xml:space="preserve">7.2 A position, marked to market — not a fresh trade at every horizon</w:t>
      </w:r>
    </w:p>
    <w:p>
      <w:pPr>
        <w:spacing w:after="160" w:line="300"/>
        <w:jc w:val="both"/>
      </w:pPr>
      <w:r>
        <w:rPr>
          <w:sz w:val="22"/>
          <w:szCs w:val="22"/>
        </w:rPr>
        <w:t xml:space="preserve">A single position is opened once, at the level observed at the moment of pricing, and marked to market forward, month by month, to its own expiry — never repriced from scratch as though it were a new trade at every point on the horizon. Three things move as the position ages: the strike is fixed at the level observed at inception, so the position's later value depends on how far the underlying has actually travelled from that fixed strike, not on the absolute width of a forecast band at that date; remaining time value runs down deterministically as elapsed time m advances toward expiry τ — the option's theta:</w:t>
      </w:r>
    </w:p>
    <w:p>
      <w:pPr>
        <w:spacing w:after="210" w:before="170"/>
        <w:jc w:val="center"/>
      </w:pPr>
      <m:oMath>
        <m:sSub>
          <m:sSubPr/>
          <m:e>
            <m:r>
              <m:t>v</m:t>
            </m:r>
          </m:e>
          <m:sub>
            <m:r>
              <m:t>m</m:t>
            </m:r>
          </m:sub>
        </m:sSub>
        <m:r>
          <m:t> = σ</m:t>
        </m:r>
        <m:rad>
          <m:radPr>
            <m:degHide m:val="1"/>
          </m:radPr>
          <m:deg/>
          <m:e>
            <m:r>
              <m:t>τ − m</m:t>
            </m:r>
          </m:e>
        </m:rad>
      </m:oMath>
    </w:p>
    <w:p>
      <w:pPr>
        <w:spacing w:after="160" w:line="300"/>
        <w:jc w:val="both"/>
      </w:pPr>
      <w:r>
        <w:rPr>
          <w:sz w:val="22"/>
          <w:szCs w:val="22"/>
        </w:rPr>
        <w:t xml:space="preserve">and the premium, paid in cash up front, is financed — carrying it to elapsed time m costs a fraction of the premium at the relevant live short rate r_f (the three-month US Treasury bill for dollar instruments, the ECB's main refinancing rate for euro instruments):</w:t>
      </w:r>
    </w:p>
    <w:p>
      <w:pPr>
        <w:spacing w:after="210" w:before="170"/>
        <w:jc w:val="center"/>
      </w:pPr>
      <m:oMath>
        <m:r>
          <m:t>financing(m) = premium × </m:t>
        </m:r>
        <m:d>
          <m:dPr/>
          <m:e>
            <m:sSup>
              <m:sSupPr/>
              <m:e>
                <m:d>
                  <m:dPr/>
                  <m:e>
                    <m:r>
                      <m:t>1 + </m:t>
                    </m:r>
                    <m:sSub>
                      <m:sSubPr/>
                      <m:e>
                        <m:r>
                          <m:t>r</m:t>
                        </m:r>
                      </m:e>
                      <m:sub>
                        <m:r>
                          <m:t>f</m:t>
                        </m:r>
                      </m:sub>
                    </m:sSub>
                  </m:e>
                </m:d>
              </m:e>
              <m:sup>
                <m:r>
                  <m:t>m</m:t>
                </m:r>
              </m:sup>
            </m:sSup>
            <m:r>
              <m:t> − 1</m:t>
            </m:r>
          </m:e>
        </m:d>
      </m:oMath>
    </w:p>
    <w:p>
      <w:pPr>
        <w:spacing w:after="160" w:line="300"/>
        <w:jc w:val="both"/>
      </w:pPr>
      <w:r>
        <w:rPr>
          <w:sz w:val="22"/>
          <w:szCs w:val="22"/>
        </w:rPr>
        <w:t xml:space="preserve">A full round trip of execution friction — entry and exit — is charged once each, not once in total.</w:t>
      </w:r>
    </w:p>
    <w:p>
      <w:pPr>
        <w:pStyle w:val="Heading2"/>
        <w:spacing w:after="140" w:before="300"/>
      </w:pPr>
      <w:r>
        <w:rPr>
          <w:b/>
          <w:bCs/>
          <w:color w:val="44546A"/>
          <w:sz w:val="25"/>
          <w:szCs w:val="25"/>
        </w:rPr>
        <w:t xml:space="preserve">7.3 Expected value under the forecast distribution</w:t>
      </w:r>
    </w:p>
    <w:p>
      <w:pPr>
        <w:spacing w:after="160" w:line="300"/>
        <w:jc w:val="both"/>
      </w:pPr>
      <w:r>
        <w:rPr>
          <w:sz w:val="22"/>
          <w:szCs w:val="22"/>
        </w:rPr>
        <w:t xml:space="preserve">Because the forecasting engine of Section 4 supplies a full probability distribution over the underlying's level at each future date — a mean μ and a forecast-error standard deviation s, per Section 4.5 — rather than a single number, the expected mark-to-market value of the position at elapsed time m is obtained by treating the remaining Bachelier time value and the forecast uncertainty as two independent normal contributions and combining them in quadrature:</w:t>
      </w:r>
    </w:p>
    <w:p>
      <w:pPr>
        <w:spacing w:after="210" w:before="170"/>
        <w:jc w:val="center"/>
      </w:pPr>
      <m:oMath>
        <m:r>
          <m:t>E</m:t>
        </m:r>
        <m:d>
          <m:dPr/>
          <m:e>
            <m:sSub>
              <m:sSubPr/>
              <m:e>
                <m:r>
                  <m:t>V</m:t>
                </m:r>
              </m:e>
              <m:sub>
                <m:r>
                  <m:t>m</m:t>
                </m:r>
              </m:sub>
            </m:sSub>
          </m:e>
        </m:d>
        <m:r>
          <m:t> = </m:t>
        </m:r>
        <m:rad>
          <m:radPr>
            <m:degHide m:val="1"/>
          </m:radPr>
          <m:deg/>
          <m:e>
            <m:sSup>
              <m:sSupPr/>
              <m:e>
                <m:r>
                  <m:t>s</m:t>
                </m:r>
              </m:e>
              <m:sup>
                <m:r>
                  <m:t>2</m:t>
                </m:r>
              </m:sup>
            </m:sSup>
            <m:r>
              <m:t> + </m:t>
            </m:r>
            <m:sSup>
              <m:sSupPr/>
              <m:e>
                <m:sSub>
                  <m:sSubPr/>
                  <m:e>
                    <m:r>
                      <m:t>v</m:t>
                    </m:r>
                  </m:e>
                  <m:sub>
                    <m:r>
                      <m:t>m</m:t>
                    </m:r>
                  </m:sub>
                </m:sSub>
              </m:e>
              <m:sup>
                <m:r>
                  <m:t>2</m:t>
                </m:r>
              </m:sup>
            </m:sSup>
          </m:e>
        </m:rad>
        <m:r>
          <m:t> × ψ</m:t>
        </m:r>
        <m:d>
          <m:dPr/>
          <m:e>
            <m:f>
              <m:num>
                <m:sSub>
                  <m:sSubPr/>
                  <m:e>
                    <m:r>
                      <m:t>μ</m:t>
                    </m:r>
                  </m:e>
                  <m:sub>
                    <m:r>
                      <m:t>m</m:t>
                    </m:r>
                  </m:sub>
                </m:sSub>
              </m:num>
              <m:den>
                <m:rad>
                  <m:radPr>
                    <m:degHide m:val="1"/>
                  </m:radPr>
                  <m:deg/>
                  <m:e>
                    <m:sSup>
                      <m:sSupPr/>
                      <m:e>
                        <m:r>
                          <m:t>s</m:t>
                        </m:r>
                      </m:e>
                      <m:sup>
                        <m:r>
                          <m:t>2</m:t>
                        </m:r>
                      </m:sup>
                    </m:sSup>
                    <m:r>
                      <m:t> + </m:t>
                    </m:r>
                    <m:sSup>
                      <m:sSupPr/>
                      <m:e>
                        <m:sSub>
                          <m:sSubPr/>
                          <m:e>
                            <m:r>
                              <m:t>v</m:t>
                            </m:r>
                          </m:e>
                          <m:sub>
                            <m:r>
                              <m:t>m</m:t>
                            </m:r>
                          </m:sub>
                        </m:sSub>
                      </m:e>
                      <m:sup>
                        <m:r>
                          <m:t>2</m:t>
                        </m:r>
                      </m:sup>
                    </m:sSup>
                  </m:e>
                </m:rad>
              </m:den>
            </m:f>
          </m:e>
        </m:d>
      </m:oMath>
    </w:p>
    <w:p>
      <w:pPr>
        <w:spacing w:after="160" w:line="300"/>
        <w:jc w:val="both"/>
      </w:pPr>
      <w:r>
        <w:rPr>
          <w:b w:val="false"/>
          <w:bCs w:val="false"/>
          <w:i w:val="false"/>
          <w:iCs w:val="false"/>
          <w:sz w:val="22"/>
          <w:szCs w:val="22"/>
        </w:rPr>
        <w:t xml:space="preserve">with ψ(z) = 2φ(z) + z</w:t>
      </w:r>
      <m:oMath>
        <m:d>
          <m:dPr/>
          <m:e>
            <m:r>
              <m:t>2Φ(z) − 1</m:t>
            </m:r>
          </m:e>
        </m:d>
      </m:oMath>
      <w:r>
        <w:rPr>
          <w:b w:val="false"/>
          <w:bCs w:val="false"/>
          <w:i w:val="false"/>
          <w:iCs w:val="false"/>
          <w:sz w:val="22"/>
          <w:szCs w:val="22"/>
        </w:rPr>
        <w:t xml:space="preserve">, the expected absolute value of a standard normal shifted by z. This closed form is exactly the population mean the residual-bootstrap simulation of Section 6 converges to when the same option payoff is evaluated on every simulated path; it was verified against a several-thousand-path simulation and agreed to within roughly one percent at every horizon checked, on both a single-series and a spread straddle.</w:t>
      </w:r>
    </w:p>
    <w:p>
      <w:pPr>
        <w:pStyle w:val="Heading2"/>
        <w:spacing w:after="140" w:before="300"/>
      </w:pPr>
      <w:r>
        <w:rPr>
          <w:b/>
          <w:bCs/>
          <w:color w:val="44546A"/>
          <w:sz w:val="25"/>
          <w:szCs w:val="25"/>
        </w:rPr>
        <w:t xml:space="preserve">7.4 Costs: dealer markup, prime-broker discount, execution friction</w:t>
      </w:r>
    </w:p>
    <w:p>
      <w:pPr>
        <w:spacing w:after="160" w:line="300"/>
        <w:jc w:val="both"/>
      </w:pPr>
      <w:r>
        <w:rPr>
          <w:sz w:val="22"/>
          <w:szCs w:val="22"/>
        </w:rPr>
        <w:t xml:space="preserve">The premium actually paid is the fair value of Section 7.1 multiplied by a live, market-based markup, floored so it is never priced as though there were no dealer margin at all — only where a live listed option chain is actually quoted; the floor alone applies otherwise:</w:t>
      </w:r>
    </w:p>
    <w:p>
      <w:pPr>
        <w:spacing w:after="210" w:before="170"/>
        <w:jc w:val="center"/>
      </w:pPr>
      <m:oMath>
        <m:r>
          <m:t>markup = max</m:t>
        </m:r>
        <m:d>
          <m:dPr/>
          <m:e>
            <m:r>
              <m:t>1.05,  1 + 0.30</m:t>
            </m:r>
            <m:d>
              <m:dPr/>
              <m:e>
                <m:r>
                  <m:t>IV/RV − 1</m:t>
                </m:r>
              </m:e>
            </m:d>
          </m:e>
        </m:d>
      </m:oMath>
    </w:p>
    <w:p>
      <w:pPr>
        <w:spacing w:after="160" w:line="300"/>
        <w:jc w:val="both"/>
      </w:pPr>
      <w:r>
        <w:rPr>
          <w:b w:val="false"/>
          <w:bCs w:val="false"/>
          <w:i w:val="false"/>
          <w:iCs w:val="false"/>
          <w:sz w:val="22"/>
          <w:szCs w:val="22"/>
        </w:rPr>
        <w:t xml:space="preserve">An institutional (prime-broker) execution carries a separate discount off the same base markup, a function of trade size S, in millions of dollars, and of the position's own annualised volatility:</w:t>
      </w:r>
    </w:p>
    <w:p>
      <w:pPr>
        <w:spacing w:after="210" w:before="170"/>
        <w:jc w:val="center"/>
      </w:pPr>
      <m:oMath>
        <m:sSub>
          <m:sSubPr/>
          <m:e>
            <m:r>
              <m:t>discount = clip</m:t>
            </m:r>
          </m:e>
          <m:sub>
            <m:r>
              <m:t>[0, 0.25]</m:t>
            </m:r>
          </m:sub>
        </m:sSub>
        <m:d>
          <m:dPr/>
          <m:e>
            <m:r>
              <m:t>0.05 + 0.05</m:t>
            </m:r>
            <m:sSub>
              <m:sSubPr/>
              <m:e>
                <m:r>
                  <m:t>log</m:t>
                </m:r>
              </m:e>
              <m:sub>
                <m:r>
                  <m:t>10</m:t>
                </m:r>
              </m:sub>
            </m:sSub>
            <m:r>
              <m:t>S − max</m:t>
            </m:r>
            <m:d>
              <m:dPr/>
              <m:e>
                <m:r>
                  <m:t>0, </m:t>
                </m:r>
                <m:f>
                  <m:num>
                    <m:r>
                      <m:t>annVol − 100</m:t>
                    </m:r>
                  </m:num>
                  <m:den>
                    <m:r>
                      <m:t>1000</m:t>
                    </m:r>
                  </m:den>
                </m:f>
              </m:e>
            </m:d>
          </m:e>
        </m:d>
      </m:oMath>
    </w:p>
    <w:p>
      <w:pPr>
        <w:spacing w:after="210" w:before="170"/>
        <w:jc w:val="center"/>
      </w:pPr>
      <m:oMath>
        <m:sSub>
          <m:sSubPr/>
          <m:e>
            <m:r>
              <m:t>markup</m:t>
            </m:r>
          </m:e>
          <m:sub>
            <m:r>
              <m:t>HF</m:t>
            </m:r>
          </m:sub>
        </m:sSub>
        <m:r>
          <m:t> = markup × </m:t>
        </m:r>
        <m:d>
          <m:dPr/>
          <m:e>
            <m:r>
              <m:t>1 − discount</m:t>
            </m:r>
          </m:e>
        </m:d>
      </m:oMath>
    </w:p>
    <w:p>
      <w:pPr>
        <w:spacing w:after="160" w:line="300"/>
        <w:jc w:val="both"/>
      </w:pPr>
      <w:r>
        <w:rPr>
          <w:sz w:val="22"/>
          <w:szCs w:val="22"/>
        </w:rPr>
        <w:t xml:space="preserve">Execution friction is a base half-spread that grows exponentially once realised volatility is unusually elevated relative to its OWN recent dispersion — deliberately measured in units of that series' own spread between its 90th and 50th percentile rather than as an absolute level, so the same functional form transfers sensibly across instruments quoted on very different scales:</w:t>
      </w:r>
    </w:p>
    <w:p>
      <w:pPr>
        <w:spacing w:after="210" w:before="170"/>
        <w:jc w:val="center"/>
      </w:pPr>
      <m:oMath>
        <m:r>
          <m:t>friction = 0.5 bps × exp</m:t>
        </m:r>
        <m:d>
          <m:dPr/>
          <m:e>
            <m:r>
              <m:t>0.08 × </m:t>
            </m:r>
            <m:f>
              <m:num>
                <m:r>
                  <m:t>max(0, v − p90)</m:t>
                </m:r>
              </m:num>
              <m:den>
                <m:r>
                  <m:t>p90 − p50</m:t>
                </m:r>
              </m:den>
            </m:f>
          </m:e>
        </m:d>
      </m:oMath>
    </w:p>
    <w:p>
      <w:pPr>
        <w:pStyle w:val="Heading2"/>
        <w:spacing w:after="140" w:before="300"/>
      </w:pPr>
      <w:r>
        <w:rPr>
          <w:b/>
          <w:bCs/>
          <w:color w:val="44546A"/>
          <w:sz w:val="25"/>
          <w:szCs w:val="25"/>
        </w:rPr>
        <w:t xml:space="preserve">7.5 Straddles on a spread between two instruments</w:t>
      </w:r>
    </w:p>
    <w:p>
      <w:pPr>
        <w:spacing w:after="160" w:line="300"/>
        <w:jc w:val="both"/>
      </w:pPr>
      <w:r>
        <w:rPr>
          <w:sz w:val="22"/>
          <w:szCs w:val="22"/>
        </w:rPr>
        <w:t xml:space="preserve">Where the position is a straddle on the DIFFERENCE between two series — the compensation for the extra risk of one credit grade over an adjacent one, or one sovereign's yield over a core benchmark's — the position is priced on the variance of that difference taken from the same fitted model, not on the sum of the two legs' variances taken separately:</w:t>
      </w:r>
    </w:p>
    <w:p>
      <w:pPr>
        <w:spacing w:after="210" w:before="170"/>
        <w:jc w:val="center"/>
      </w:pPr>
      <m:oMath>
        <m:r>
          <m:t>Var(a − b) = Var(a) + Var(b) − 2 Cov(a, b)</m:t>
        </m:r>
      </m:oMath>
    </w:p>
    <w:p>
      <w:pPr>
        <w:spacing w:after="160" w:line="300"/>
        <w:jc w:val="both"/>
      </w:pPr>
      <w:r>
        <w:rPr>
          <w:sz w:val="22"/>
          <w:szCs w:val="22"/>
        </w:rPr>
        <w:t xml:space="preserve">Two series that move together are, correctly, cheaper to straddle as a pair than either leg is to straddle alone; ignoring the covariance term would overstate the cost, and the fair value, of every relative-value position in the platform.</w:t>
      </w:r>
    </w:p>
    <w:p>
      <w:pPr>
        <w:pStyle w:val="Heading1"/>
        <w:pBdr>
          <w:bottom w:val="single" w:color="1F5EFF" w:sz="6" w:space="6"/>
        </w:pBdr>
        <w:spacing w:after="200" w:before="420"/>
      </w:pPr>
      <w:r>
        <w:rPr>
          <w:b/>
          <w:bCs/>
          <w:color w:val="1B2A4A"/>
          <w:sz w:val="30"/>
          <w:szCs w:val="30"/>
        </w:rPr>
        <w:t xml:space="preserve">8. Risk and Performance Metrics</w:t>
      </w:r>
    </w:p>
    <w:p>
      <w:pPr>
        <w:spacing w:after="160" w:line="300"/>
        <w:jc w:val="both"/>
      </w:pPr>
      <w:r>
        <w:rPr>
          <w:sz w:val="22"/>
          <w:szCs w:val="22"/>
        </w:rPr>
        <w:t xml:space="preserve">Every instrument the platform covers is scored on a common battery of return and risk metrics, computed from the constructed total-return series of Section 2. All formulas below use r for one period's realised return and N for the number of periods per year (252 daily, 12 monthly).</w:t>
      </w:r>
    </w:p>
    <w:p>
      <w:pPr>
        <w:pStyle w:val="Heading2"/>
        <w:spacing w:after="140" w:before="300"/>
      </w:pPr>
      <w:r>
        <w:rPr>
          <w:b/>
          <w:bCs/>
          <w:color w:val="44546A"/>
          <w:sz w:val="25"/>
          <w:szCs w:val="25"/>
        </w:rPr>
        <w:t xml:space="preserve">8.1 Return measures</w:t>
      </w:r>
    </w:p>
    <w:p>
      <w:pPr>
        <w:spacing w:after="160" w:line="300"/>
        <w:jc w:val="both"/>
      </w:pPr>
      <w:r>
        <w:rPr>
          <w:sz w:val="22"/>
          <w:szCs w:val="22"/>
        </w:rPr>
        <w:t xml:space="preserve">Annualised return is simply the mean period return scaled up to a year; the total return over the observed window (ROI) and its geometric annual equivalent (CAGR) follow directly:</w:t>
      </w:r>
    </w:p>
    <w:p>
      <w:pPr>
        <w:spacing w:after="210" w:before="170"/>
        <w:jc w:val="center"/>
      </w:pPr>
      <m:oMath>
        <m:sSub>
          <m:sSubPr/>
          <m:e>
            <m:r>
              <m:t>μ</m:t>
            </m:r>
          </m:e>
          <m:sub>
            <m:r>
              <m:t>ann</m:t>
            </m:r>
          </m:sub>
        </m:sSub>
        <m:r>
          <m:t> = N × mean(r)</m:t>
        </m:r>
      </m:oMath>
    </w:p>
    <w:p>
      <w:pPr>
        <w:spacing w:after="210" w:before="170"/>
        <w:jc w:val="center"/>
      </w:pPr>
      <m:oMath>
        <m:r>
          <m:t>ROI = </m:t>
        </m:r>
        <m:nary>
          <m:naryPr>
            <m:chr m:val="∑"/>
            <m:limLoc m:val="undOvr"/>
          </m:naryPr>
          <m:sub>
            <m:r>
              <m:t>t=1</m:t>
            </m:r>
          </m:sub>
          <m:sup>
            <m:r>
              <m:t>n</m:t>
            </m:r>
          </m:sup>
          <m:e>
            <m:r>
              <m:t>r</m:t>
            </m:r>
          </m:e>
        </m:nary>
      </m:oMath>
    </w:p>
    <w:p>
      <w:pPr>
        <w:spacing w:after="210" w:before="170"/>
        <w:jc w:val="center"/>
      </w:pPr>
      <m:oMath>
        <m:r>
          <m:t>CAGR = </m:t>
        </m:r>
        <m:sSup>
          <m:sSupPr/>
          <m:e>
            <m:d>
              <m:dPr/>
              <m:e>
                <m:r>
                  <m:t>1 + ROI</m:t>
                </m:r>
              </m:e>
            </m:d>
          </m:e>
          <m:sup>
            <m:r>
              <m:t>1/years</m:t>
            </m:r>
          </m:sup>
        </m:sSup>
        <m:r>
          <m:t> − 1</m:t>
        </m:r>
      </m:oMath>
    </w:p>
    <w:p>
      <w:pPr>
        <w:spacing w:after="160" w:line="300"/>
        <w:jc w:val="both"/>
      </w:pPr>
      <w:r>
        <w:rPr>
          <w:sz w:val="22"/>
          <w:szCs w:val="22"/>
        </w:rPr>
        <w:t xml:space="preserve">The internal rate of return (IRR) is the money-weighted counterpart: the single discount rate that sets the net present value of the position's ACTUAL periodic cash flows — carry collected each period, and redemption at the level-implied mark at the end of the window — to zero. Because the cash-flow sign pattern is not guaranteed to make a Newton iteration well-behaved, it is solved by bisection on the discount rate:</w:t>
      </w:r>
    </w:p>
    <w:p>
      <w:pPr>
        <w:spacing w:after="210" w:before="170"/>
        <w:jc w:val="center"/>
      </w:pPr>
      <m:oMath>
        <m:nary>
          <m:naryPr>
            <m:chr m:val="∑"/>
            <m:limLoc m:val="undOvr"/>
          </m:naryPr>
          <m:sub>
            <m:r>
              <m:t>t=0</m:t>
            </m:r>
          </m:sub>
          <m:sup>
            <m:r>
              <m:t>n</m:t>
            </m:r>
          </m:sup>
          <m:e>
            <m:f>
              <m:num>
                <m:sSub>
                  <m:sSubPr/>
                  <m:e>
                    <m:r>
                      <m:t>CF</m:t>
                    </m:r>
                  </m:e>
                  <m:sub>
                    <m:r>
                      <m:t>t</m:t>
                    </m:r>
                  </m:sub>
                </m:sSub>
              </m:num>
              <m:den>
                <m:sSup>
                  <m:sSupPr/>
                  <m:e>
                    <m:d>
                      <m:dPr/>
                      <m:e>
                        <m:r>
                          <m:t>1 + IRR</m:t>
                        </m:r>
                      </m:e>
                    </m:d>
                  </m:e>
                  <m:sup>
                    <m:r>
                      <m:t>t/N</m:t>
                    </m:r>
                  </m:sup>
                </m:sSup>
              </m:den>
            </m:f>
          </m:e>
        </m:nary>
        <m:r>
          <m:t> = 0</m:t>
        </m:r>
      </m:oMath>
    </w:p>
    <w:p>
      <w:pPr>
        <w:pStyle w:val="Heading2"/>
        <w:spacing w:after="140" w:before="300"/>
      </w:pPr>
      <w:r>
        <w:rPr>
          <w:b/>
          <w:bCs/>
          <w:color w:val="44546A"/>
          <w:sz w:val="25"/>
          <w:szCs w:val="25"/>
        </w:rPr>
        <w:t xml:space="preserve">8.2 Risk measures</w:t>
      </w:r>
    </w:p>
    <w:p>
      <w:pPr>
        <w:spacing w:after="160" w:line="300"/>
        <w:jc w:val="both"/>
      </w:pPr>
      <w:r>
        <w:rPr>
          <w:sz w:val="22"/>
          <w:szCs w:val="22"/>
        </w:rPr>
        <w:t xml:space="preserve">Annualised volatility scales the period standard deviation the same way; downside deviation restricts that calculation to periods with a loss, and maximum drawdown is the deepest peak-to-trough fall of the cumulative return path:</w:t>
      </w:r>
    </w:p>
    <w:p>
      <w:pPr>
        <w:spacing w:after="210" w:before="170"/>
        <w:jc w:val="center"/>
      </w:pPr>
      <m:oMath>
        <m:sSub>
          <m:sSubPr/>
          <m:e>
            <m:r>
              <m:t>σ</m:t>
            </m:r>
          </m:e>
          <m:sub>
            <m:r>
              <m:t>ann</m:t>
            </m:r>
          </m:sub>
        </m:sSub>
        <m:r>
          <m:t> = </m:t>
        </m:r>
        <m:rad>
          <m:radPr>
            <m:degHide m:val="1"/>
          </m:radPr>
          <m:deg/>
          <m:e>
            <m:r>
              <m:t>N</m:t>
            </m:r>
          </m:e>
        </m:rad>
        <m:r>
          <m:t> × stdev(r)</m:t>
        </m:r>
      </m:oMath>
    </w:p>
    <w:p>
      <w:pPr>
        <w:spacing w:after="210" w:before="170"/>
        <w:jc w:val="center"/>
      </w:pPr>
      <m:oMath>
        <m:r>
          <m:t>downside deviation = </m:t>
        </m:r>
        <m:rad>
          <m:radPr>
            <m:degHide m:val="1"/>
          </m:radPr>
          <m:deg/>
          <m:e>
            <m:r>
              <m:t>N</m:t>
            </m:r>
          </m:e>
        </m:rad>
        <m:r>
          <m:t> × </m:t>
        </m:r>
        <m:rad>
          <m:radPr>
            <m:degHide m:val="1"/>
          </m:radPr>
          <m:deg/>
          <m:e>
            <m:r>
              <m:t>mean</m:t>
            </m:r>
            <m:d>
              <m:dPr/>
              <m:e>
                <m:sSup>
                  <m:sSupPr/>
                  <m:e>
                    <m:d>
                      <m:dPr/>
                      <m:e>
                        <m:r>
                          <m:t>min(r, 0)</m:t>
                        </m:r>
                      </m:e>
                    </m:d>
                  </m:e>
                  <m:sup>
                    <m:r>
                      <m:t>2</m:t>
                    </m:r>
                  </m:sup>
                </m:sSup>
              </m:e>
            </m:d>
          </m:e>
        </m:rad>
      </m:oMath>
    </w:p>
    <w:p>
      <w:pPr>
        <w:spacing w:after="210" w:before="170"/>
        <w:jc w:val="center"/>
      </w:pPr>
      <m:oMath>
        <m:r>
          <m:t>maximum drawdown = </m:t>
        </m:r>
        <m:sSub>
          <m:sSubPr/>
          <m:e>
            <m:r>
              <m:t>min</m:t>
            </m:r>
          </m:e>
          <m:sub>
            <m:r>
              <m:t>t</m:t>
            </m:r>
          </m:sub>
        </m:sSub>
        <m:d>
          <m:dPr/>
          <m:e>
            <m:sSub>
              <m:sSubPr/>
              <m:e>
                <m:r>
                  <m:t>cum</m:t>
                </m:r>
              </m:e>
              <m:sub>
                <m:r>
                  <m:t>t</m:t>
                </m:r>
              </m:sub>
            </m:sSub>
            <m:r>
              <m:t> − running-max</m:t>
            </m:r>
            <m:d>
              <m:dPr/>
              <m:e>
                <m:sSub>
                  <m:sSubPr/>
                  <m:e>
                    <m:r>
                      <m:t>cum</m:t>
                    </m:r>
                  </m:e>
                  <m:sub>
                    <m:r>
                      <m:t>≤t</m:t>
                    </m:r>
                  </m:sub>
                </m:sSub>
              </m:e>
            </m:d>
          </m:e>
        </m:d>
      </m:oMath>
    </w:p>
    <w:p>
      <w:pPr>
        <w:spacing w:after="160" w:line="300"/>
        <w:jc w:val="both"/>
      </w:pPr>
      <w:r>
        <w:rPr>
          <w:sz w:val="22"/>
          <w:szCs w:val="22"/>
        </w:rPr>
        <w:t xml:space="preserve">The ulcer index penalises the DURATION of a drawdown, not only its depth, by averaging the square of the drawdown percentage across the whole path rather than taking only its worst point:</w:t>
      </w:r>
    </w:p>
    <w:p>
      <w:pPr>
        <w:spacing w:after="210" w:before="170"/>
        <w:jc w:val="center"/>
      </w:pPr>
      <m:oMath>
        <m:r>
          <m:t>Ulcer = 100 × </m:t>
        </m:r>
        <m:rad>
          <m:radPr>
            <m:degHide m:val="1"/>
          </m:radPr>
          <m:deg/>
          <m:e>
            <m:r>
              <m:t>mean</m:t>
            </m:r>
            <m:d>
              <m:dPr/>
              <m:e>
                <m:sSup>
                  <m:sSupPr/>
                  <m:e>
                    <m:r>
                      <m:t>drawdown%</m:t>
                    </m:r>
                  </m:e>
                  <m:sup>
                    <m:r>
                      <m:t>2</m:t>
                    </m:r>
                  </m:sup>
                </m:sSup>
              </m:e>
            </m:d>
          </m:e>
        </m:rad>
      </m:oMath>
    </w:p>
    <w:p>
      <w:pPr>
        <w:spacing w:after="160" w:line="300"/>
        <w:jc w:val="both"/>
      </w:pPr>
      <w:r>
        <w:rPr>
          <w:sz w:val="22"/>
          <w:szCs w:val="22"/>
        </w:rPr>
        <w:t xml:space="preserve">Value at risk at the 95% level is read directly off the empirical distribution of realised returns, as its 5th percentile; its expected-shortfall counterpart is the mean of everything at or beyond that percentile:</w:t>
      </w:r>
    </w:p>
    <w:p>
      <w:pPr>
        <w:spacing w:after="210" w:before="170"/>
        <w:jc w:val="center"/>
      </w:pPr>
      <m:oMath>
        <m:sSub>
          <m:sSubPr/>
          <m:e>
            <m:r>
              <m:t>VaR</m:t>
            </m:r>
          </m:e>
          <m:sub>
            <m:r>
              <m:t>95</m:t>
            </m:r>
          </m:sub>
        </m:sSub>
        <m:r>
          <m:t> = </m:t>
        </m:r>
        <m:sSub>
          <m:sSubPr/>
          <m:e>
            <m:r>
              <m:t>Q</m:t>
            </m:r>
          </m:e>
          <m:sub>
            <m:r>
              <m:t>5%</m:t>
            </m:r>
          </m:sub>
        </m:sSub>
        <m:r>
          <m:t>(r)</m:t>
        </m:r>
      </m:oMath>
    </w:p>
    <w:p>
      <w:pPr>
        <w:spacing w:after="210" w:before="170"/>
        <w:jc w:val="center"/>
      </w:pPr>
      <m:oMath>
        <m:sSub>
          <m:sSubPr/>
          <m:e>
            <m:r>
              <m:t>CVaR</m:t>
            </m:r>
          </m:e>
          <m:sub>
            <m:r>
              <m:t>95</m:t>
            </m:r>
          </m:sub>
        </m:sSub>
        <m:r>
          <m:t> = mean</m:t>
        </m:r>
        <m:d>
          <m:dPr/>
          <m:e>
            <m:r>
              <m:t>r  |  r ≤ </m:t>
            </m:r>
            <m:sSub>
              <m:sSubPr/>
              <m:e>
                <m:r>
                  <m:t>Q</m:t>
                </m:r>
              </m:e>
              <m:sub>
                <m:r>
                  <m:t>5%</m:t>
                </m:r>
              </m:sub>
            </m:sSub>
            <m:r>
              <m:t>(r)</m:t>
            </m:r>
          </m:e>
        </m:d>
      </m:oMath>
    </w:p>
    <w:p>
      <w:pPr>
        <w:spacing w:after="160" w:line="300"/>
        <w:jc w:val="both"/>
      </w:pPr>
      <w:r>
        <w:rPr>
          <w:sz w:val="22"/>
          <w:szCs w:val="22"/>
        </w:rPr>
        <w:t xml:space="preserve">Skewness and excess kurtosis are the standardised third and fourth central moments of the standardised return z, the latter measured in excess of the normal distribution's own value of three:</w:t>
      </w:r>
    </w:p>
    <w:p>
      <w:pPr>
        <w:spacing w:after="210" w:before="170"/>
        <w:jc w:val="center"/>
      </w:pPr>
      <m:oMath>
        <m:r>
          <m:t>z = </m:t>
        </m:r>
        <m:f>
          <m:num>
            <m:r>
              <m:t>r − mean(r)</m:t>
            </m:r>
          </m:num>
          <m:den>
            <m:r>
              <m:t>stdev(r)</m:t>
            </m:r>
          </m:den>
        </m:f>
      </m:oMath>
    </w:p>
    <w:p>
      <w:pPr>
        <w:spacing w:after="210" w:before="170"/>
        <w:jc w:val="center"/>
      </w:pPr>
      <m:oMath>
        <m:r>
          <m:t>skew = mean</m:t>
        </m:r>
        <m:d>
          <m:dPr/>
          <m:e>
            <m:sSup>
              <m:sSupPr/>
              <m:e>
                <m:r>
                  <m:t>z</m:t>
                </m:r>
              </m:e>
              <m:sup>
                <m:r>
                  <m:t>3</m:t>
                </m:r>
              </m:sup>
            </m:sSup>
          </m:e>
        </m:d>
      </m:oMath>
    </w:p>
    <w:p>
      <w:pPr>
        <w:spacing w:after="210" w:before="170"/>
        <w:jc w:val="center"/>
      </w:pPr>
      <m:oMath>
        <m:r>
          <m:t>excess kurtosis = mean</m:t>
        </m:r>
        <m:d>
          <m:dPr/>
          <m:e>
            <m:sSup>
              <m:sSupPr/>
              <m:e>
                <m:r>
                  <m:t>z</m:t>
                </m:r>
              </m:e>
              <m:sup>
                <m:r>
                  <m:t>4</m:t>
                </m:r>
              </m:sup>
            </m:sSup>
          </m:e>
        </m:d>
        <m:r>
          <m:t> − 3</m:t>
        </m:r>
      </m:oMath>
    </w:p>
    <w:p>
      <w:pPr>
        <w:pStyle w:val="Heading2"/>
        <w:spacing w:after="140" w:before="300"/>
      </w:pPr>
      <w:r>
        <w:rPr>
          <w:b/>
          <w:bCs/>
          <w:color w:val="44546A"/>
          <w:sz w:val="25"/>
          <w:szCs w:val="25"/>
        </w:rPr>
        <w:t xml:space="preserve">8.3 Risk-adjusted measures</w:t>
      </w:r>
    </w:p>
    <w:p>
      <w:pPr>
        <w:spacing w:after="210" w:before="170"/>
        <w:jc w:val="center"/>
      </w:pPr>
      <m:oMath>
        <m:r>
          <m:t>Sharpe = </m:t>
        </m:r>
        <m:f>
          <m:num>
            <m:sSub>
              <m:sSubPr/>
              <m:e>
                <m:r>
                  <m:t>μ</m:t>
                </m:r>
              </m:e>
              <m:sub>
                <m:r>
                  <m:t>ann</m:t>
                </m:r>
              </m:sub>
            </m:sSub>
            <m:r>
              <m:t> − </m:t>
            </m:r>
            <m:sSub>
              <m:sSubPr/>
              <m:e>
                <m:r>
                  <m:t>r</m:t>
                </m:r>
              </m:e>
              <m:sub>
                <m:r>
                  <m:t>f</m:t>
                </m:r>
              </m:sub>
            </m:sSub>
          </m:num>
          <m:den>
            <m:sSub>
              <m:sSubPr/>
              <m:e>
                <m:r>
                  <m:t>σ</m:t>
                </m:r>
              </m:e>
              <m:sub>
                <m:r>
                  <m:t>ann</m:t>
                </m:r>
              </m:sub>
            </m:sSub>
          </m:den>
        </m:f>
      </m:oMath>
    </w:p>
    <w:p>
      <w:pPr>
        <w:spacing w:after="210" w:before="170"/>
        <w:jc w:val="center"/>
      </w:pPr>
      <m:oMath>
        <m:r>
          <m:t>Sortino = </m:t>
        </m:r>
        <m:f>
          <m:num>
            <m:sSub>
              <m:sSubPr/>
              <m:e>
                <m:r>
                  <m:t>μ</m:t>
                </m:r>
              </m:e>
              <m:sub>
                <m:r>
                  <m:t>ann</m:t>
                </m:r>
              </m:sub>
            </m:sSub>
          </m:num>
          <m:den>
            <m:r>
              <m:t>downside deviation</m:t>
            </m:r>
          </m:den>
        </m:f>
      </m:oMath>
    </w:p>
    <w:p>
      <w:pPr>
        <w:spacing w:after="210" w:before="170"/>
        <w:jc w:val="center"/>
      </w:pPr>
      <m:oMath>
        <m:r>
          <m:t>Calmar = </m:t>
        </m:r>
        <m:f>
          <m:num>
            <m:sSub>
              <m:sSubPr/>
              <m:e>
                <m:r>
                  <m:t>μ</m:t>
                </m:r>
              </m:e>
              <m:sub>
                <m:r>
                  <m:t>ann</m:t>
                </m:r>
              </m:sub>
            </m:sSub>
          </m:num>
          <m:den>
            <m:r>
              <m:t>|maximum drawdown|</m:t>
            </m:r>
          </m:den>
        </m:f>
      </m:oMath>
    </w:p>
    <w:p>
      <w:pPr>
        <w:spacing w:after="210" w:before="170"/>
        <w:jc w:val="center"/>
      </w:pPr>
      <m:oMath>
        <m:r>
          <m:t>Omega = </m:t>
        </m:r>
        <m:f>
          <m:num>
            <m:sSub>
              <m:sSubPr/>
              <m:e>
                <m:r>
                  <m:t>Σ</m:t>
                </m:r>
              </m:e>
              <m:sub>
                <m:r>
                  <m:t>r&gt;0</m:t>
                </m:r>
              </m:sub>
            </m:sSub>
            <m:r>
              <m:t> r</m:t>
            </m:r>
          </m:num>
          <m:den>
            <m:sSub>
              <m:sSubPr/>
              <m:e>
                <m:r>
                  <m:t>Σ</m:t>
                </m:r>
              </m:e>
              <m:sub>
                <m:r>
                  <m:t>r&lt;0</m:t>
                </m:r>
              </m:sub>
            </m:sSub>
            <m:r>
              <m:t> (−r)</m:t>
            </m:r>
          </m:den>
        </m:f>
      </m:oMath>
    </w:p>
    <w:p>
      <w:pPr>
        <w:spacing w:after="160" w:line="300"/>
        <w:jc w:val="both"/>
      </w:pPr>
      <w:r>
        <w:rPr>
          <w:sz w:val="22"/>
          <w:szCs w:val="22"/>
        </w:rPr>
        <w:t xml:space="preserve">The gain-to-pain ratio and the hit rate complete the battery:</w:t>
      </w:r>
    </w:p>
    <w:p>
      <w:pPr>
        <w:spacing w:after="210" w:before="170"/>
        <w:jc w:val="center"/>
      </w:pPr>
      <m:oMath>
        <m:r>
          <m:t>GPR = </m:t>
        </m:r>
        <m:f>
          <m:num>
            <m:r>
              <m:t>gains − losses</m:t>
            </m:r>
          </m:num>
          <m:den>
            <m:r>
              <m:t>losses</m:t>
            </m:r>
          </m:den>
        </m:f>
      </m:oMath>
    </w:p>
    <w:p>
      <w:pPr>
        <w:spacing w:after="210" w:before="170"/>
        <w:jc w:val="center"/>
      </w:pPr>
      <m:oMath>
        <m:r>
          <m:t>hit rate = </m:t>
        </m:r>
        <m:f>
          <m:num>
            <m:r>
              <m:t>count(r &gt; 0)</m:t>
            </m:r>
          </m:num>
          <m:den>
            <m:r>
              <m:t>n</m:t>
            </m:r>
          </m:den>
        </m:f>
      </m:oMath>
    </w:p>
    <w:p>
      <w:pPr>
        <w:pStyle w:val="Heading2"/>
        <w:spacing w:after="140" w:before="300"/>
      </w:pPr>
      <w:r>
        <w:rPr>
          <w:b/>
          <w:bCs/>
          <w:color w:val="44546A"/>
          <w:sz w:val="25"/>
          <w:szCs w:val="25"/>
        </w:rPr>
        <w:t xml:space="preserve">8.4 A sign convention that inverts the entire ranking if missed</w:t>
      </w:r>
    </w:p>
    <w:p>
      <w:pPr>
        <w:spacing w:after="160" w:line="300"/>
        <w:jc w:val="both"/>
      </w:pPr>
      <w:r>
        <w:rPr>
          <w:sz w:val="22"/>
          <w:szCs w:val="22"/>
        </w:rPr>
        <w:t xml:space="preserve">An option-adjusted spread return is, by construction, already a return in EXCESS of the government curve — that is what a spread means. The risk-free rate is therefore never subtracted a second time when computing the Sharpe or Sortino ratio of a credit series. A government-yield-based total return is not already an excess return, and does have the risk-free rate deducted. This distinction was verified to matter in practice: computed the same way for both instrument classes, the safest investment-grade credit grade in the entire universe scored among the worst risk-adjusted ratios on the platform, purely from double-subtracting a rate that was already embedded in the spread; corrected, it scores in line with what its very low volatility implies.</w:t>
      </w:r>
    </w:p>
    <w:p>
      <w:pPr>
        <w:pStyle w:val="Heading1"/>
        <w:pBdr>
          <w:bottom w:val="single" w:color="1F5EFF" w:sz="6" w:space="6"/>
        </w:pBdr>
        <w:spacing w:after="200" w:before="420"/>
      </w:pPr>
      <w:r>
        <w:rPr>
          <w:b/>
          <w:bCs/>
          <w:color w:val="1B2A4A"/>
          <w:sz w:val="30"/>
          <w:szCs w:val="30"/>
        </w:rPr>
        <w:t xml:space="preserve">9. Unsupervised Classification — Strong, Neutral, Weak</w:t>
      </w:r>
    </w:p>
    <w:p>
      <w:pPr>
        <w:spacing w:after="160" w:line="300"/>
        <w:jc w:val="both"/>
      </w:pPr>
      <w:r>
        <w:rPr>
          <w:sz w:val="22"/>
          <w:szCs w:val="22"/>
        </w:rPr>
        <w:t xml:space="preserve">Every instrument is finally reduced to a single relative verdict — strong, neutral or weak — produced by unsupervised statistical classification over the metric battery of Section 8. This is distinguished deliberately from the forecasting engine of Section 4: a vector autoregression is a fitted econometric model with an explicit likelihood, forecasting a specific future quantity. The classification step has no target variable, no labels and no training signal of any kind — only the geometric structure of realised metrics across the current universe of instruments.</w:t>
      </w:r>
    </w:p>
    <w:p>
      <w:pPr>
        <w:pStyle w:val="Heading2"/>
        <w:spacing w:after="140" w:before="300"/>
      </w:pPr>
      <w:r>
        <w:rPr>
          <w:b/>
          <w:bCs/>
          <w:color w:val="44546A"/>
          <w:sz w:val="25"/>
          <w:szCs w:val="25"/>
        </w:rPr>
        <w:t xml:space="preserve">9.1 Standardisation and orientation</w:t>
      </w:r>
    </w:p>
    <w:p>
      <w:pPr>
        <w:spacing w:after="160" w:line="300"/>
        <w:jc w:val="both"/>
      </w:pPr>
      <w:r>
        <w:rPr>
          <w:sz w:val="22"/>
          <w:szCs w:val="22"/>
        </w:rPr>
        <w:t xml:space="preserve">Every metric is converted to a z-score — zero mean, unit variance — across the instruments currently in scope, and multiplied by a stated direction: +1 where a larger value is better (a Sharpe ratio), −1 where a smaller one is (annualised volatility), so that every column of the resulting matrix points the same way before any distance or projection is computed. A metric reported for fewer than half the universe, or with zero variance across it, contributes no information and is dropped rather than left in to add noise.</w:t>
      </w:r>
    </w:p>
    <w:p>
      <w:pPr>
        <w:spacing w:after="210" w:before="170"/>
        <w:jc w:val="center"/>
      </w:pPr>
      <m:oMath>
        <m:sSub>
          <m:sSubPr/>
          <m:e>
            <m:r>
              <m:t>z</m:t>
            </m:r>
          </m:e>
          <m:sub>
            <m:r>
              <m:t>k</m:t>
            </m:r>
          </m:sub>
        </m:sSub>
        <m:r>
          <m:t> = </m:t>
        </m:r>
        <m:f>
          <m:num>
            <m:sSub>
              <m:sSubPr/>
              <m:e>
                <m:r>
                  <m:t>x</m:t>
                </m:r>
              </m:e>
              <m:sub>
                <m:r>
                  <m:t>k</m:t>
                </m:r>
              </m:sub>
            </m:sSub>
            <m:r>
              <m:t> − mean</m:t>
            </m:r>
            <m:d>
              <m:dPr/>
              <m:e>
                <m:sSub>
                  <m:sSubPr/>
                  <m:e>
                    <m:r>
                      <m:t>x</m:t>
                    </m:r>
                  </m:e>
                  <m:sub>
                    <m:r>
                      <m:t>k</m:t>
                    </m:r>
                  </m:sub>
                </m:sSub>
              </m:e>
            </m:d>
          </m:num>
          <m:den>
            <m:r>
              <m:t>sd</m:t>
            </m:r>
            <m:d>
              <m:dPr/>
              <m:e>
                <m:sSub>
                  <m:sSubPr/>
                  <m:e>
                    <m:r>
                      <m:t>x</m:t>
                    </m:r>
                  </m:e>
                  <m:sub>
                    <m:r>
                      <m:t>k</m:t>
                    </m:r>
                  </m:sub>
                </m:sSub>
              </m:e>
            </m:d>
          </m:den>
        </m:f>
        <m:r>
          <m:t> × </m:t>
        </m:r>
        <m:sSub>
          <m:sSubPr/>
          <m:e>
            <m:r>
              <m:t>dir</m:t>
            </m:r>
          </m:e>
          <m:sub>
            <m:r>
              <m:t>k</m:t>
            </m:r>
          </m:sub>
        </m:sSub>
      </m:oMath>
    </w:p>
    <w:p>
      <w:pPr>
        <w:pStyle w:val="Heading2"/>
        <w:spacing w:after="140" w:before="300"/>
      </w:pPr>
      <w:r>
        <w:rPr>
          <w:b/>
          <w:bCs/>
          <w:color w:val="44546A"/>
          <w:sz w:val="25"/>
          <w:szCs w:val="25"/>
        </w:rPr>
        <w:t xml:space="preserve">9.2 Why only a subset of the metrics classifies</w:t>
      </w:r>
    </w:p>
    <w:p>
      <w:pPr>
        <w:spacing w:after="160" w:line="300"/>
        <w:jc w:val="both"/>
      </w:pPr>
      <w:r>
        <w:rPr>
          <w:sz w:val="22"/>
          <w:szCs w:val="22"/>
        </w:rPr>
        <w:t xml:space="preserve">Principal component analysis run over the FULL standardised metric matrix does not produce a quality axis. Its leading component was found, empirically, to correlate strongly and negatively with raw annualised volatility (roughly −0.92) and only weakly with any risk-adjusted ratio (roughly 0.46 with Sharpe) — the dominant axis of variation across a universe of fixed-income instruments is simply how volatile each one is, not how well it is compensated per unit of that risk, and reorienting the standardised columns cannot change which axis carries the most variance, only which end of it is labelled positive. On the live universe this mislabelled a genuinely high-Sharpe emerging-market high-yield index as weak, and a negative-Sharpe developed-market sovereign as neutral.</w:t>
      </w:r>
    </w:p>
    <w:p>
      <w:pPr>
        <w:spacing w:after="160" w:line="300"/>
        <w:jc w:val="both"/>
      </w:pPr>
      <w:r>
        <w:rPr>
          <w:sz w:val="22"/>
          <w:szCs w:val="22"/>
        </w:rPr>
        <w:t xml:space="preserve">Restricting the classification step to the metrics that are already scale-free or risk-normalised — the Sharpe, Sortino, Calmar and Omega ratios, gain-to-pain, hit rate, skew, excess kurtosis, the ulcer index, cheapness against an instrument's own trailing history, carry per unit of volatility and the cover ratio of Section 3 — removes the volatility axis entirely: on the same universe the leading component's correlation with raw volatility falls to near zero while its correlation with the Sharpe ratio rises above 0.96. Every metric, scale-free or not, including every return and risk figure of Section 8, is still computed and displayed for each instrument; only the classification step itself is restricted to the subset that measures quality rather than scale.</w:t>
      </w:r>
    </w:p>
    <w:p>
      <w:pPr>
        <w:pStyle w:val="Heading2"/>
        <w:spacing w:after="140" w:before="300"/>
      </w:pPr>
      <w:r>
        <w:rPr>
          <w:b/>
          <w:bCs/>
          <w:color w:val="44546A"/>
          <w:sz w:val="25"/>
          <w:szCs w:val="25"/>
        </w:rPr>
        <w:t xml:space="preserve">9.3 Principal component analysis</w:t>
      </w:r>
    </w:p>
    <w:p>
      <w:pPr>
        <w:spacing w:after="160" w:line="300"/>
        <w:jc w:val="both"/>
      </w:pPr>
      <w:r>
        <w:rPr>
          <w:sz w:val="22"/>
          <w:szCs w:val="22"/>
        </w:rPr>
        <w:t xml:space="preserve">On the standardised, direction-oriented matrix Z (instruments × metrics), the covariance matrix is:</w:t>
      </w:r>
    </w:p>
    <w:p>
      <w:pPr>
        <w:spacing w:after="210" w:before="170"/>
        <w:jc w:val="center"/>
      </w:pPr>
      <m:oMath>
        <m:r>
          <m:t>C = </m:t>
        </m:r>
        <m:f>
          <m:num>
            <m:r>
              <m:t>Z′Z</m:t>
            </m:r>
          </m:num>
          <m:den>
            <m:r>
              <m:t>n − 1</m:t>
            </m:r>
          </m:den>
        </m:f>
      </m:oMath>
    </w:p>
    <w:p>
      <w:pPr>
        <w:spacing w:after="160" w:line="300"/>
        <w:jc w:val="both"/>
      </w:pPr>
      <w:r>
        <w:rPr>
          <w:sz w:val="22"/>
          <w:szCs w:val="22"/>
        </w:rPr>
        <w:t xml:space="preserve">The leading eigenvector is obtained by power iteration — repeated multiplication and renormalisation until convergence — rather than a full eigendecomposition:</w:t>
      </w:r>
    </w:p>
    <w:p>
      <w:pPr>
        <w:spacing w:after="210" w:before="170"/>
        <w:jc w:val="center"/>
      </w:pPr>
      <m:oMath>
        <m:r>
          <m:t>Cv = λv</m:t>
        </m:r>
      </m:oMath>
    </w:p>
    <w:p>
      <w:pPr>
        <w:spacing w:after="210" w:before="170"/>
        <w:jc w:val="center"/>
      </w:pPr>
      <m:oMath>
        <m:r>
          <m:t>v ← </m:t>
        </m:r>
        <m:f>
          <m:num>
            <m:r>
              <m:t>Cv</m:t>
            </m:r>
          </m:num>
          <m:den>
            <m:r>
              <m:t>‖Cv‖</m:t>
            </m:r>
          </m:den>
        </m:f>
      </m:oMath>
    </w:p>
    <w:p>
      <w:pPr>
        <w:spacing w:after="160" w:line="300"/>
        <w:jc w:val="both"/>
      </w:pPr>
      <w:r>
        <w:rPr>
          <w:sz w:val="22"/>
          <w:szCs w:val="22"/>
        </w:rPr>
        <w:t xml:space="preserve">Successive components are extracted by Hotelling deflation — subtracting the found component's contribution from the covariance matrix and repeating the same power iteration:</w:t>
      </w:r>
    </w:p>
    <w:p>
      <w:pPr>
        <w:spacing w:after="210" w:before="170"/>
        <w:jc w:val="center"/>
      </w:pPr>
      <m:oMath>
        <m:r>
          <m:t>C ← C − λvv′</m:t>
        </m:r>
      </m:oMath>
    </w:p>
    <w:p>
      <w:pPr>
        <w:spacing w:after="160" w:line="300"/>
        <w:jc w:val="both"/>
      </w:pPr>
      <w:r>
        <w:rPr>
          <w:sz w:val="22"/>
          <w:szCs w:val="22"/>
        </w:rPr>
        <w:t xml:space="preserve">Each instrument's score on a component is its standardised row projected onto that component's loading vector, s = Zv, and the share of total variance a component explains is λ divided by the trace of C.</w:t>
      </w:r>
    </w:p>
    <w:p>
      <w:pPr>
        <w:pStyle w:val="Heading2"/>
        <w:spacing w:after="140" w:before="300"/>
      </w:pPr>
      <w:r>
        <w:rPr>
          <w:b/>
          <w:bCs/>
          <w:color w:val="44546A"/>
          <w:sz w:val="25"/>
          <w:szCs w:val="25"/>
        </w:rPr>
        <w:t xml:space="preserve">9.4 k-means clustering</w:t>
      </w:r>
    </w:p>
    <w:p>
      <w:pPr>
        <w:spacing w:after="160" w:line="300"/>
        <w:jc w:val="both"/>
      </w:pPr>
      <w:r>
        <w:rPr>
          <w:sz w:val="22"/>
          <w:szCs w:val="22"/>
        </w:rPr>
        <w:t xml:space="preserve">Three clusters are formed — chosen to match the three-way strong / neutral / weak output — using k-means++ seeding (each successive initial centre chosen with probability proportional to its squared distance from the nearest centre already chosen, which spreads the starting points out rather than risking two adjacent ones) followed by Lloyd's algorithm: alternately assign every instrument to its nearest centre, then recompute each centre as the mean of its assigned instruments, to convergence.</w:t>
      </w:r>
    </w:p>
    <w:p>
      <w:pPr>
        <w:spacing w:after="160" w:line="300"/>
        <w:jc w:val="both"/>
      </w:pPr>
      <w:r>
        <w:rPr>
          <w:sz w:val="22"/>
          <w:szCs w:val="22"/>
        </w:rPr>
        <w:t xml:space="preserve">The fit is run from several dozen independent random restarts and only the lowest-inertia (lowest total within-cluster squared distance) result is kept, because a single run of k-means can converge to a poor local optimum — on one early run this produced a degenerate split with only a single instrument in the middle group.</w:t>
      </w:r>
    </w:p>
    <w:p>
      <w:pPr>
        <w:spacing w:after="160" w:line="300"/>
        <w:jc w:val="both"/>
      </w:pPr>
      <w:r>
        <w:rPr>
          <w:sz w:val="22"/>
          <w:szCs w:val="22"/>
        </w:rPr>
        <w:t xml:space="preserve">Clustering is performed on a REDUCED representation — the leading principal components together explaining roughly 70% of total variance — rather than on the full standardised matrix, because with a modest number of instruments spread across a comparatively high-dimensional metric space, Euclidean distances concentrate: every point becomes almost equally distant from every other, and k-means loses the ability to separate groups at all. Reducing dimensionality first is the standard remedy.</w:t>
      </w:r>
    </w:p>
    <w:p>
      <w:pPr>
        <w:spacing w:after="160" w:line="300"/>
        <w:jc w:val="both"/>
      </w:pPr>
      <w:r>
        <w:rPr>
          <w:sz w:val="22"/>
          <w:szCs w:val="22"/>
        </w:rPr>
        <w:t xml:space="preserve">The separation the clustering actually achieved is reported alongside every result, honestly, using the silhouette coefficient — averaged over every instrument, the normalised gap between its mean distance to points in its own cluster (a) and its mean distance to points in the nearest other cluster (b):</w:t>
      </w:r>
    </w:p>
    <w:p>
      <w:pPr>
        <w:spacing w:after="210" w:before="170"/>
        <w:jc w:val="center"/>
      </w:pPr>
      <m:oMath>
        <m:r>
          <m:t>silhouette = mean</m:t>
        </m:r>
        <m:d>
          <m:dPr/>
          <m:e>
            <m:f>
              <m:num>
                <m:r>
                  <m:t>b − a</m:t>
                </m:r>
              </m:num>
              <m:den>
                <m:r>
                  <m:t>max(a, b)</m:t>
                </m:r>
              </m:den>
            </m:f>
          </m:e>
        </m:d>
      </m:oMath>
    </w:p>
    <w:p>
      <w:pPr>
        <w:pStyle w:val="Heading2"/>
        <w:spacing w:after="140" w:before="300"/>
      </w:pPr>
      <w:r>
        <w:rPr>
          <w:b/>
          <w:bCs/>
          <w:color w:val="44546A"/>
          <w:sz w:val="25"/>
          <w:szCs w:val="25"/>
        </w:rPr>
        <w:t xml:space="preserve">9.5 Naming clusters after the fact</w:t>
      </w:r>
    </w:p>
    <w:p>
      <w:pPr>
        <w:spacing w:after="160" w:line="300"/>
        <w:jc w:val="both"/>
      </w:pPr>
      <w:r>
        <w:rPr>
          <w:sz w:val="22"/>
          <w:szCs w:val="22"/>
        </w:rPr>
        <w:t xml:space="preserve">The three groups k-means produces carry no inherent order or meaning. “Strong”, “neutral” and “weak” are assigned only AFTER clustering, by ranking the three clusters' average score on the first principal component from highest to lowest and labelling them in that order. The model is never told, at any stage, which cluster ought to be called which.</w:t>
      </w:r>
    </w:p>
    <w:p>
      <w:pPr>
        <w:pStyle w:val="Heading2"/>
        <w:spacing w:after="140" w:before="300"/>
      </w:pPr>
      <w:r>
        <w:rPr>
          <w:b/>
          <w:bCs/>
          <w:color w:val="44546A"/>
          <w:sz w:val="25"/>
          <w:szCs w:val="25"/>
        </w:rPr>
        <w:t xml:space="preserve">9.6 Classifying within, not across, asset class</w:t>
      </w:r>
    </w:p>
    <w:p>
      <w:pPr>
        <w:spacing w:after="160" w:line="300"/>
        <w:jc w:val="both"/>
      </w:pPr>
      <w:r>
        <w:rPr>
          <w:sz w:val="22"/>
          <w:szCs w:val="22"/>
        </w:rPr>
        <w:t xml:space="preserve">Credit indices and sovereign curves are standardised and clustered SEPARATELY, in two independent pools. Pooling them together was tried during development and rejected: the leading component collapsed into an almost exact restatement of asset class — every credit instrument in the strong group, essentially every sovereign in the weak one — a true fact about a particular historical window (credit richened while government yields sold off) but not an informative ranking, since it tells an allocator only that credit outperformed governments over the sample, which they already knew. Classifying within each pool instead answers the question an allocator can actually act on: which instruments are strong relative to their own peers.</w:t>
      </w:r>
    </w:p>
    <w:p>
      <w:pPr>
        <w:pStyle w:val="Heading2"/>
        <w:spacing w:after="140" w:before="300"/>
      </w:pPr>
      <w:r>
        <w:rPr>
          <w:b/>
          <w:bCs/>
          <w:color w:val="44546A"/>
          <w:sz w:val="25"/>
          <w:szCs w:val="25"/>
        </w:rPr>
        <w:t xml:space="preserve">9.7 Attribution: major drivers and major blockers</w:t>
      </w:r>
    </w:p>
    <w:p>
      <w:pPr>
        <w:spacing w:after="160" w:line="300"/>
        <w:jc w:val="both"/>
      </w:pPr>
      <w:r>
        <w:rPr>
          <w:sz w:val="22"/>
          <w:szCs w:val="22"/>
        </w:rPr>
        <w:t xml:space="preserve">For a given instrument, the contribution of one metric to its position on the quality axis is its standardised, direction-oriented value multiplied by that metric's loading on the first component:</w:t>
      </w:r>
    </w:p>
    <w:p>
      <w:pPr>
        <w:spacing w:after="210" w:before="170"/>
        <w:jc w:val="center"/>
      </w:pPr>
      <m:oMath>
        <m:sSub>
          <m:sSubPr/>
          <m:e>
            <m:r>
              <m:t>contribution</m:t>
            </m:r>
          </m:e>
          <m:sub>
            <m:r>
              <m:t>k</m:t>
            </m:r>
          </m:sub>
        </m:sSub>
        <m:r>
          <m:t> = </m:t>
        </m:r>
        <m:sSub>
          <m:sSubPr/>
          <m:e>
            <m:r>
              <m:t>z</m:t>
            </m:r>
          </m:e>
          <m:sub>
            <m:r>
              <m:t>k</m:t>
            </m:r>
          </m:sub>
        </m:sSub>
        <m:r>
          <m:t> × </m:t>
        </m:r>
        <m:sSub>
          <m:sSubPr/>
          <m:e>
            <m:r>
              <m:t>loading</m:t>
            </m:r>
          </m:e>
          <m:sub>
            <m:r>
              <m:t>k</m:t>
            </m:r>
          </m:sub>
        </m:sSub>
      </m:oMath>
    </w:p>
    <w:p>
      <w:pPr>
        <w:spacing w:after="160" w:line="300"/>
        <w:jc w:val="both"/>
      </w:pPr>
      <w:r>
        <w:rPr>
          <w:sz w:val="22"/>
          <w:szCs w:val="22"/>
        </w:rPr>
        <w:t xml:space="preserve">The metrics with the largest positive contribution are reported as the instrument's major drivers; the largest negative, as its major blockers. This is what lets the platform state not only that an instrument is strong, but which specific aspect of its realised performance is responsible.</w:t>
      </w:r>
    </w:p>
    <w:p>
      <w:pPr>
        <w:pStyle w:val="Heading2"/>
        <w:spacing w:after="140" w:before="300"/>
      </w:pPr>
      <w:r>
        <w:rPr>
          <w:b/>
          <w:bCs/>
          <w:color w:val="44546A"/>
          <w:sz w:val="25"/>
          <w:szCs w:val="25"/>
        </w:rPr>
        <w:t xml:space="preserve">9.8 What this cannot claim</w:t>
      </w:r>
    </w:p>
    <w:p>
      <w:pPr>
        <w:spacing w:after="160" w:line="300"/>
        <w:jc w:val="both"/>
      </w:pPr>
      <w:r>
        <w:rPr>
          <w:sz w:val="22"/>
          <w:szCs w:val="22"/>
        </w:rPr>
        <w:t xml:space="preserve">The classification is relative to the pool of instruments actually present when it runs, and to realised history, not a forecast — the forward-looking view of Sections 4 through 7 is the separate, complementary answer to a different question. Removing the single weakest instrument from a pool changes what “weak” means for everyone left in it; nothing in this method asserts that any instrument is good or bad in an absolute sense, only how it currently compares to its own peers.</w:t>
      </w:r>
    </w:p>
    <w:p>
      <w:pPr>
        <w:pStyle w:val="Heading1"/>
        <w:pBdr>
          <w:bottom w:val="single" w:color="1F5EFF" w:sz="6" w:space="6"/>
        </w:pBdr>
        <w:spacing w:after="200" w:before="420"/>
      </w:pPr>
      <w:r>
        <w:rPr>
          <w:b/>
          <w:bCs/>
          <w:color w:val="1B2A4A"/>
          <w:sz w:val="30"/>
          <w:szCs w:val="30"/>
        </w:rPr>
        <w:t xml:space="preserve">10. Geographic Aggregation — the Opportunity Heat Map</w:t>
      </w:r>
    </w:p>
    <w:p>
      <w:pPr>
        <w:spacing w:after="160" w:line="300"/>
        <w:jc w:val="both"/>
      </w:pPr>
      <w:r>
        <w:rPr>
          <w:sz w:val="22"/>
          <w:szCs w:val="22"/>
        </w:rPr>
        <w:t xml:space="preserve">The world map view reduces each country to a single one-month compensation figure by averaging whichever of up to four independent legs are genuinely available and free for that market — never assuming a missing leg is worth zero, and never fabricating one where no live source exists.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EEF2FA" w:val="clear"/>
            <w:tcMar>
              <w:top w:type="dxa" w:w="90"/>
              <w:left w:type="dxa" w:w="130"/>
              <w:bottom w:type="dxa" w:w="90"/>
              <w:right w:type="dxa" w:w="130"/>
            </w:tcMar>
            <w:vAlign w:val="center"/>
          </w:tcPr>
          <w:p>
            <w:pPr>
              <w:jc w:val="left"/>
            </w:pPr>
            <w:r>
              <w:rPr>
                <w:b/>
                <w:bCs/>
                <w:color w:val="44546A"/>
                <w:sz w:val="20"/>
                <w:szCs w:val="20"/>
              </w:rPr>
              <w:t xml:space="preserve">Leg</w:t>
            </w:r>
          </w:p>
        </w:tc>
        <w:tc>
          <w:tcPr>
            <w:tcW w:type="dxa" w:w="6450"/>
            <w:shd w:fill="EEF2FA" w:val="clear"/>
            <w:tcMar>
              <w:top w:type="dxa" w:w="90"/>
              <w:left w:type="dxa" w:w="130"/>
              <w:bottom w:type="dxa" w:w="90"/>
              <w:right w:type="dxa" w:w="130"/>
            </w:tcMar>
            <w:vAlign w:val="center"/>
          </w:tcPr>
          <w:p>
            <w:pPr>
              <w:jc w:val="center"/>
            </w:pPr>
            <w:r>
              <w:rPr>
                <w:b/>
                <w:bCs/>
                <w:color w:val="44546A"/>
                <w:sz w:val="20"/>
                <w:szCs w:val="20"/>
              </w:rPr>
              <w:t xml:space="preserve">Construction</w:t>
            </w:r>
          </w:p>
        </w:tc>
      </w:tr>
      <w:tr>
        <w:tc>
          <w:tcPr>
            <w:tcW w:type="dxa" w:w="2900"/>
            <w:tcMar>
              <w:top w:type="dxa" w:w="90"/>
              <w:left w:type="dxa" w:w="130"/>
              <w:bottom w:type="dxa" w:w="90"/>
              <w:right w:type="dxa" w:w="130"/>
            </w:tcMar>
            <w:vAlign w:val="center"/>
          </w:tcPr>
          <w:p>
            <w:pPr>
              <w:jc w:val="left"/>
            </w:pPr>
            <w:r>
              <w:rPr>
                <w:b w:val="false"/>
                <w:bCs w:val="false"/>
                <w:color w:val="1A1A1A"/>
                <w:sz w:val="20"/>
                <w:szCs w:val="20"/>
              </w:rPr>
              <w:t xml:space="preserve">Sovereign bond price</w:t>
            </w:r>
          </w:p>
        </w:tc>
        <w:tc>
          <w:tcPr>
            <w:tcW w:type="dxa" w:w="6450"/>
            <w:tcMar>
              <w:top w:type="dxa" w:w="90"/>
              <w:left w:type="dxa" w:w="130"/>
              <w:bottom w:type="dxa" w:w="90"/>
              <w:right w:type="dxa" w:w="130"/>
            </w:tcMar>
            <w:vAlign w:val="center"/>
          </w:tcPr>
          <w:p>
            <w:pPr>
              <w:jc w:val="center"/>
            </w:pPr>
            <w:r>
              <w:rPr>
                <w:b w:val="false"/>
                <w:bCs w:val="false"/>
                <w:color w:val="1A1A1A"/>
                <w:sz w:val="20"/>
                <w:szCs w:val="20"/>
              </w:rPr>
              <w:t xml:space="preserve">yield-implied price return at the sovereign duration constant of Section 2.2, compounded with the local currency's return against the US dollar where the instrument is not itself dollar-denominated</w:t>
            </w:r>
          </w:p>
        </w:tc>
      </w:tr>
      <w:tr>
        <w:tc>
          <w:tcPr>
            <w:tcW w:type="dxa" w:w="2900"/>
            <w:tcMar>
              <w:top w:type="dxa" w:w="90"/>
              <w:left w:type="dxa" w:w="130"/>
              <w:bottom w:type="dxa" w:w="90"/>
              <w:right w:type="dxa" w:w="130"/>
            </w:tcMar>
            <w:vAlign w:val="center"/>
          </w:tcPr>
          <w:p>
            <w:pPr>
              <w:jc w:val="left"/>
            </w:pPr>
            <w:r>
              <w:rPr>
                <w:b w:val="false"/>
                <w:bCs w:val="false"/>
                <w:color w:val="1A1A1A"/>
                <w:sz w:val="20"/>
                <w:szCs w:val="20"/>
              </w:rPr>
              <w:t xml:space="preserve">Country equity index</w:t>
            </w:r>
          </w:p>
        </w:tc>
        <w:tc>
          <w:tcPr>
            <w:tcW w:type="dxa" w:w="6450"/>
            <w:tcMar>
              <w:top w:type="dxa" w:w="90"/>
              <w:left w:type="dxa" w:w="130"/>
              <w:bottom w:type="dxa" w:w="90"/>
              <w:right w:type="dxa" w:w="130"/>
            </w:tcMar>
            <w:vAlign w:val="center"/>
          </w:tcPr>
          <w:p>
            <w:pPr>
              <w:jc w:val="center"/>
            </w:pPr>
            <w:r>
              <w:rPr>
                <w:b w:val="false"/>
                <w:bCs w:val="false"/>
                <w:color w:val="1A1A1A"/>
                <w:sz w:val="20"/>
                <w:szCs w:val="20"/>
              </w:rPr>
              <w:t xml:space="preserve">total return of a listed, dollar-denominated country exchange-traded fund; no separate currency leg is added, since the fund's own listed price already embeds that exposure and adding one again would double-count it</w:t>
            </w:r>
          </w:p>
        </w:tc>
      </w:tr>
      <w:tr>
        <w:tc>
          <w:tcPr>
            <w:tcW w:type="dxa" w:w="2900"/>
            <w:tcMar>
              <w:top w:type="dxa" w:w="90"/>
              <w:left w:type="dxa" w:w="130"/>
              <w:bottom w:type="dxa" w:w="90"/>
              <w:right w:type="dxa" w:w="130"/>
            </w:tcMar>
            <w:vAlign w:val="center"/>
          </w:tcPr>
          <w:p>
            <w:pPr>
              <w:jc w:val="left"/>
            </w:pPr>
            <w:r>
              <w:rPr>
                <w:b w:val="false"/>
                <w:bCs w:val="false"/>
                <w:color w:val="1A1A1A"/>
                <w:sz w:val="20"/>
                <w:szCs w:val="20"/>
              </w:rPr>
              <w:t xml:space="preserve">Regional corporate credit</w:t>
            </w:r>
          </w:p>
        </w:tc>
        <w:tc>
          <w:tcPr>
            <w:tcW w:type="dxa" w:w="6450"/>
            <w:tcMar>
              <w:top w:type="dxa" w:w="90"/>
              <w:left w:type="dxa" w:w="130"/>
              <w:bottom w:type="dxa" w:w="90"/>
              <w:right w:type="dxa" w:w="130"/>
            </w:tcMar>
            <w:vAlign w:val="center"/>
          </w:tcPr>
          <w:p>
            <w:pPr>
              <w:jc w:val="center"/>
            </w:pPr>
            <w:r>
              <w:rPr>
                <w:b w:val="false"/>
                <w:bCs w:val="false"/>
                <w:color w:val="1A1A1A"/>
                <w:sz w:val="20"/>
                <w:szCs w:val="20"/>
              </w:rPr>
              <w:t xml:space="preserve">spread-implied price return of the emerging-market corporate credit index covering that country's region</w:t>
            </w:r>
          </w:p>
        </w:tc>
      </w:tr>
      <w:tr>
        <w:tc>
          <w:tcPr>
            <w:tcW w:type="dxa" w:w="2900"/>
            <w:tcMar>
              <w:top w:type="dxa" w:w="90"/>
              <w:left w:type="dxa" w:w="130"/>
              <w:bottom w:type="dxa" w:w="90"/>
              <w:right w:type="dxa" w:w="130"/>
            </w:tcMar>
            <w:vAlign w:val="center"/>
          </w:tcPr>
          <w:p>
            <w:pPr>
              <w:jc w:val="left"/>
            </w:pPr>
            <w:r>
              <w:rPr>
                <w:b w:val="false"/>
                <w:bCs w:val="false"/>
                <w:color w:val="1A1A1A"/>
                <w:sz w:val="20"/>
                <w:szCs w:val="20"/>
              </w:rPr>
              <w:t xml:space="preserve">Currency alone</w:t>
            </w:r>
          </w:p>
        </w:tc>
        <w:tc>
          <w:tcPr>
            <w:tcW w:type="dxa" w:w="6450"/>
            <w:tcMar>
              <w:top w:type="dxa" w:w="90"/>
              <w:left w:type="dxa" w:w="130"/>
              <w:bottom w:type="dxa" w:w="90"/>
              <w:right w:type="dxa" w:w="130"/>
            </w:tcMar>
            <w:vAlign w:val="center"/>
          </w:tcPr>
          <w:p>
            <w:pPr>
              <w:jc w:val="center"/>
            </w:pPr>
            <w:r>
              <w:rPr>
                <w:b w:val="false"/>
                <w:bCs w:val="false"/>
                <w:color w:val="1A1A1A"/>
                <w:sz w:val="20"/>
                <w:szCs w:val="20"/>
              </w:rPr>
              <w:t xml:space="preserve">used ONLY where neither a sovereign curve nor a country fund exists, so a market with no priced instrument still carries at least one genuinely country-specific figure rather than silently inheriting a value identical to every other country in its region</w:t>
            </w:r>
          </w:p>
        </w:tc>
      </w:tr>
    </w:tbl>
    <w:p>
      <w:pPr>
        <w:spacing w:after="210" w:before="170"/>
        <w:jc w:val="center"/>
      </w:pPr>
      <m:oMath>
        <m:r>
          <m:t>Heat = </m:t>
        </m:r>
        <m:f>
          <m:num>
            <m:r>
              <m:t>1</m:t>
            </m:r>
          </m:num>
          <m:den>
            <m:r>
              <m:t>L</m:t>
            </m:r>
          </m:den>
        </m:f>
        <m:nary>
          <m:naryPr>
            <m:chr m:val="∑"/>
            <m:limLoc m:val="undOvr"/>
          </m:naryPr>
          <m:sub>
            <m:r>
              <m:t>i=1</m:t>
            </m:r>
          </m:sub>
          <m:sup>
            <m:r>
              <m:t>L</m:t>
            </m:r>
          </m:sup>
          <m:e>
            <m:sSub>
              <m:sSubPr/>
              <m:e>
                <m:r>
                  <m:t>leg</m:t>
                </m:r>
              </m:e>
              <m:sub>
                <m:r>
                  <m:t>i</m:t>
                </m:r>
              </m:sub>
            </m:sSub>
          </m:e>
        </m:nary>
      </m:oMath>
    </w:p>
    <w:p>
      <w:pPr>
        <w:spacing w:after="160" w:line="300"/>
        <w:jc w:val="both"/>
      </w:pPr>
      <w:r>
        <w:rPr>
          <w:sz w:val="22"/>
          <w:szCs w:val="22"/>
        </w:rPr>
        <w:t xml:space="preserve">L is the number of legs actually available for that market — never assumed to be the full four. Regional and world summaries are the identical unweighted mean taken one level higher, across the countries — not the legs — within a region. A market with no leg available at all is reported explicitly as outside current coverage, never displayed as a zero, which would read as a genuine but flat compensation figure rather than as missing data.</w:t>
      </w:r>
    </w:p>
    <w:p>
      <w:pPr>
        <w:pStyle w:val="Heading1"/>
        <w:pBdr>
          <w:bottom w:val="single" w:color="1F5EFF" w:sz="6" w:space="6"/>
        </w:pBdr>
        <w:spacing w:after="200" w:before="420"/>
      </w:pPr>
      <w:r>
        <w:rPr>
          <w:b/>
          <w:bCs/>
          <w:color w:val="1B2A4A"/>
          <w:sz w:val="30"/>
          <w:szCs w:val="30"/>
        </w:rPr>
        <w:t xml:space="preserve">11. Platform Surface</w:t>
      </w:r>
    </w:p>
    <w:p>
      <w:pPr>
        <w:spacing w:after="160" w:line="300"/>
        <w:jc w:val="both"/>
      </w:pPr>
      <w:r>
        <w:rPr>
          <w:sz w:val="22"/>
          <w:szCs w:val="22"/>
        </w:rPr>
        <w:t xml:space="preserve">The methodology of Sections 2 through 10 surfaces through a small number of purpose-built views, each answering one of the platform's four core questions for a different slice of the universe or at a different level of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EEF2FA" w:val="clear"/>
            <w:tcMar>
              <w:top w:type="dxa" w:w="90"/>
              <w:left w:type="dxa" w:w="130"/>
              <w:bottom w:type="dxa" w:w="90"/>
              <w:right w:type="dxa" w:w="130"/>
            </w:tcMar>
            <w:vAlign w:val="center"/>
          </w:tcPr>
          <w:p>
            <w:pPr>
              <w:jc w:val="left"/>
            </w:pPr>
            <w:r>
              <w:rPr>
                <w:b/>
                <w:bCs/>
                <w:color w:val="44546A"/>
                <w:sz w:val="20"/>
                <w:szCs w:val="20"/>
              </w:rPr>
              <w:t xml:space="preserve">View</w:t>
            </w:r>
          </w:p>
        </w:tc>
        <w:tc>
          <w:tcPr>
            <w:tcW w:type="dxa" w:w="6850"/>
            <w:shd w:fill="EEF2FA" w:val="clear"/>
            <w:tcMar>
              <w:top w:type="dxa" w:w="90"/>
              <w:left w:type="dxa" w:w="130"/>
              <w:bottom w:type="dxa" w:w="90"/>
              <w:right w:type="dxa" w:w="130"/>
            </w:tcMar>
            <w:vAlign w:val="center"/>
          </w:tcPr>
          <w:p>
            <w:pPr>
              <w:jc w:val="center"/>
            </w:pPr>
            <w:r>
              <w:rPr>
                <w:b/>
                <w:bCs/>
                <w:color w:val="44546A"/>
                <w:sz w:val="20"/>
                <w:szCs w:val="20"/>
              </w:rPr>
              <w:t xml:space="preserve">Question answered</w:t>
            </w:r>
          </w:p>
        </w:tc>
      </w:tr>
      <w:tr>
        <w:tc>
          <w:tcPr>
            <w:tcW w:type="dxa" w:w="2500"/>
            <w:tcMar>
              <w:top w:type="dxa" w:w="90"/>
              <w:left w:type="dxa" w:w="130"/>
              <w:bottom w:type="dxa" w:w="90"/>
              <w:right w:type="dxa" w:w="130"/>
            </w:tcMar>
            <w:vAlign w:val="center"/>
          </w:tcPr>
          <w:p>
            <w:pPr>
              <w:jc w:val="left"/>
            </w:pPr>
            <w:r>
              <w:rPr>
                <w:b w:val="false"/>
                <w:bCs w:val="false"/>
                <w:color w:val="1A1A1A"/>
                <w:sz w:val="20"/>
                <w:szCs w:val="20"/>
              </w:rPr>
              <w:t xml:space="preserve">World map</w:t>
            </w:r>
          </w:p>
        </w:tc>
        <w:tc>
          <w:tcPr>
            <w:tcW w:type="dxa" w:w="6850"/>
            <w:tcMar>
              <w:top w:type="dxa" w:w="90"/>
              <w:left w:type="dxa" w:w="130"/>
              <w:bottom w:type="dxa" w:w="90"/>
              <w:right w:type="dxa" w:w="130"/>
            </w:tcMar>
            <w:vAlign w:val="center"/>
          </w:tcPr>
          <w:p>
            <w:pPr>
              <w:jc w:val="center"/>
            </w:pPr>
            <w:r>
              <w:rPr>
                <w:b w:val="false"/>
                <w:bCs w:val="false"/>
                <w:color w:val="1A1A1A"/>
                <w:sz w:val="20"/>
                <w:szCs w:val="20"/>
              </w:rPr>
              <w:t xml:space="preserve">Section 10's heat aggregation, by country and region</w:t>
            </w:r>
          </w:p>
        </w:tc>
      </w:tr>
      <w:tr>
        <w:tc>
          <w:tcPr>
            <w:tcW w:type="dxa" w:w="2500"/>
            <w:tcMar>
              <w:top w:type="dxa" w:w="90"/>
              <w:left w:type="dxa" w:w="130"/>
              <w:bottom w:type="dxa" w:w="90"/>
              <w:right w:type="dxa" w:w="130"/>
            </w:tcMar>
            <w:vAlign w:val="center"/>
          </w:tcPr>
          <w:p>
            <w:pPr>
              <w:jc w:val="left"/>
            </w:pPr>
            <w:r>
              <w:rPr>
                <w:b w:val="false"/>
                <w:bCs w:val="false"/>
                <w:color w:val="1A1A1A"/>
                <w:sz w:val="20"/>
                <w:szCs w:val="20"/>
              </w:rPr>
              <w:t xml:space="preserve">Opportunity screen</w:t>
            </w:r>
          </w:p>
        </w:tc>
        <w:tc>
          <w:tcPr>
            <w:tcW w:type="dxa" w:w="6850"/>
            <w:tcMar>
              <w:top w:type="dxa" w:w="90"/>
              <w:left w:type="dxa" w:w="130"/>
              <w:bottom w:type="dxa" w:w="90"/>
              <w:right w:type="dxa" w:w="130"/>
            </w:tcMar>
            <w:vAlign w:val="center"/>
          </w:tcPr>
          <w:p>
            <w:pPr>
              <w:jc w:val="center"/>
            </w:pPr>
            <w:r>
              <w:rPr>
                <w:b w:val="false"/>
                <w:bCs w:val="false"/>
                <w:color w:val="1A1A1A"/>
                <w:sz w:val="20"/>
                <w:szCs w:val="20"/>
              </w:rPr>
              <w:t xml:space="preserve">every credit index and sovereign curve ranked by richness against its own trailing history, alongside spread-less-expected-loss and cover ratio where applicable, and the driving external series from Section 5</w:t>
            </w:r>
          </w:p>
        </w:tc>
      </w:tr>
      <w:tr>
        <w:tc>
          <w:tcPr>
            <w:tcW w:type="dxa" w:w="2500"/>
            <w:tcMar>
              <w:top w:type="dxa" w:w="90"/>
              <w:left w:type="dxa" w:w="130"/>
              <w:bottom w:type="dxa" w:w="90"/>
              <w:right w:type="dxa" w:w="130"/>
            </w:tcMar>
            <w:vAlign w:val="center"/>
          </w:tcPr>
          <w:p>
            <w:pPr>
              <w:jc w:val="left"/>
            </w:pPr>
            <w:r>
              <w:rPr>
                <w:b w:val="false"/>
                <w:bCs w:val="false"/>
                <w:color w:val="1A1A1A"/>
                <w:sz w:val="20"/>
                <w:szCs w:val="20"/>
              </w:rPr>
              <w:t xml:space="preserve">Compensation book</w:t>
            </w:r>
          </w:p>
        </w:tc>
        <w:tc>
          <w:tcPr>
            <w:tcW w:type="dxa" w:w="6850"/>
            <w:tcMar>
              <w:top w:type="dxa" w:w="90"/>
              <w:left w:type="dxa" w:w="130"/>
              <w:bottom w:type="dxa" w:w="90"/>
              <w:right w:type="dxa" w:w="130"/>
            </w:tcMar>
            <w:vAlign w:val="center"/>
          </w:tcPr>
          <w:p>
            <w:pPr>
              <w:jc w:val="center"/>
            </w:pPr>
            <w:r>
              <w:rPr>
                <w:b w:val="false"/>
                <w:bCs w:val="false"/>
                <w:color w:val="1A1A1A"/>
                <w:sz w:val="20"/>
                <w:szCs w:val="20"/>
              </w:rPr>
              <w:t xml:space="preserve">the full Section 3 grade-by-grade spread, expected loss, net compensation and cover-ratio table</w:t>
            </w:r>
          </w:p>
        </w:tc>
      </w:tr>
      <w:tr>
        <w:tc>
          <w:tcPr>
            <w:tcW w:type="dxa" w:w="2500"/>
            <w:tcMar>
              <w:top w:type="dxa" w:w="90"/>
              <w:left w:type="dxa" w:w="130"/>
              <w:bottom w:type="dxa" w:w="90"/>
              <w:right w:type="dxa" w:w="130"/>
            </w:tcMar>
            <w:vAlign w:val="center"/>
          </w:tcPr>
          <w:p>
            <w:pPr>
              <w:jc w:val="left"/>
            </w:pPr>
            <w:r>
              <w:rPr>
                <w:b w:val="false"/>
                <w:bCs w:val="false"/>
                <w:color w:val="1A1A1A"/>
                <w:sz w:val="20"/>
                <w:szCs w:val="20"/>
              </w:rPr>
              <w:t xml:space="preserve">Forecast</w:t>
            </w:r>
          </w:p>
        </w:tc>
        <w:tc>
          <w:tcPr>
            <w:tcW w:type="dxa" w:w="6850"/>
            <w:tcMar>
              <w:top w:type="dxa" w:w="90"/>
              <w:left w:type="dxa" w:w="130"/>
              <w:bottom w:type="dxa" w:w="90"/>
              <w:right w:type="dxa" w:w="130"/>
            </w:tcMar>
            <w:vAlign w:val="center"/>
          </w:tcPr>
          <w:p>
            <w:pPr>
              <w:jc w:val="center"/>
            </w:pPr>
            <w:r>
              <w:rPr>
                <w:b w:val="false"/>
                <w:bCs w:val="false"/>
                <w:color w:val="1A1A1A"/>
                <w:sz w:val="20"/>
                <w:szCs w:val="20"/>
              </w:rPr>
              <w:t xml:space="preserve">the twelve-step-ahead vector-autoregression point forecast and full impulse-response contagion matrix of Section 4</w:t>
            </w:r>
          </w:p>
        </w:tc>
      </w:tr>
      <w:tr>
        <w:tc>
          <w:tcPr>
            <w:tcW w:type="dxa" w:w="2500"/>
            <w:tcMar>
              <w:top w:type="dxa" w:w="90"/>
              <w:left w:type="dxa" w:w="130"/>
              <w:bottom w:type="dxa" w:w="90"/>
              <w:right w:type="dxa" w:w="130"/>
            </w:tcMar>
            <w:vAlign w:val="center"/>
          </w:tcPr>
          <w:p>
            <w:pPr>
              <w:jc w:val="left"/>
            </w:pPr>
            <w:r>
              <w:rPr>
                <w:b w:val="false"/>
                <w:bCs w:val="false"/>
                <w:color w:val="1A1A1A"/>
                <w:sz w:val="20"/>
                <w:szCs w:val="20"/>
              </w:rPr>
              <w:t xml:space="preserve">Returns</w:t>
            </w:r>
          </w:p>
        </w:tc>
        <w:tc>
          <w:tcPr>
            <w:tcW w:type="dxa" w:w="6850"/>
            <w:tcMar>
              <w:top w:type="dxa" w:w="90"/>
              <w:left w:type="dxa" w:w="130"/>
              <w:bottom w:type="dxa" w:w="90"/>
              <w:right w:type="dxa" w:w="130"/>
            </w:tcMar>
            <w:vAlign w:val="center"/>
          </w:tcPr>
          <w:p>
            <w:pPr>
              <w:jc w:val="center"/>
            </w:pPr>
            <w:r>
              <w:rPr>
                <w:b w:val="false"/>
                <w:bCs w:val="false"/>
                <w:color w:val="1A1A1A"/>
                <w:sz w:val="20"/>
                <w:szCs w:val="20"/>
              </w:rPr>
              <w:t xml:space="preserve">the Section 6 simulated forecast — median, band and one illustrative path — for both a buy-and-hold position (Section 2) and a volatility position (Section 7), single-instrument and relative-value</w:t>
            </w:r>
          </w:p>
        </w:tc>
      </w:tr>
      <w:tr>
        <w:tc>
          <w:tcPr>
            <w:tcW w:type="dxa" w:w="2500"/>
            <w:tcMar>
              <w:top w:type="dxa" w:w="90"/>
              <w:left w:type="dxa" w:w="130"/>
              <w:bottom w:type="dxa" w:w="90"/>
              <w:right w:type="dxa" w:w="130"/>
            </w:tcMar>
            <w:vAlign w:val="center"/>
          </w:tcPr>
          <w:p>
            <w:pPr>
              <w:jc w:val="left"/>
            </w:pPr>
            <w:r>
              <w:rPr>
                <w:b w:val="false"/>
                <w:bCs w:val="false"/>
                <w:color w:val="1A1A1A"/>
                <w:sz w:val="20"/>
                <w:szCs w:val="20"/>
              </w:rPr>
              <w:t xml:space="preserve">History</w:t>
            </w:r>
          </w:p>
        </w:tc>
        <w:tc>
          <w:tcPr>
            <w:tcW w:type="dxa" w:w="6850"/>
            <w:tcMar>
              <w:top w:type="dxa" w:w="90"/>
              <w:left w:type="dxa" w:w="130"/>
              <w:bottom w:type="dxa" w:w="90"/>
              <w:right w:type="dxa" w:w="130"/>
            </w:tcMar>
            <w:vAlign w:val="center"/>
          </w:tcPr>
          <w:p>
            <w:pPr>
              <w:jc w:val="center"/>
            </w:pPr>
            <w:r>
              <w:rPr>
                <w:b w:val="false"/>
                <w:bCs w:val="false"/>
                <w:color w:val="1A1A1A"/>
                <w:sz w:val="20"/>
                <w:szCs w:val="20"/>
              </w:rPr>
              <w:t xml:space="preserve">unmodified, uninterpolated historical series, for direct inspection independent of any model</w:t>
            </w:r>
          </w:p>
        </w:tc>
      </w:tr>
      <w:tr>
        <w:tc>
          <w:tcPr>
            <w:tcW w:type="dxa" w:w="2500"/>
            <w:tcMar>
              <w:top w:type="dxa" w:w="90"/>
              <w:left w:type="dxa" w:w="130"/>
              <w:bottom w:type="dxa" w:w="90"/>
              <w:right w:type="dxa" w:w="130"/>
            </w:tcMar>
            <w:vAlign w:val="center"/>
          </w:tcPr>
          <w:p>
            <w:pPr>
              <w:jc w:val="left"/>
            </w:pPr>
            <w:r>
              <w:rPr>
                <w:b w:val="false"/>
                <w:bCs w:val="false"/>
                <w:color w:val="1A1A1A"/>
                <w:sz w:val="20"/>
                <w:szCs w:val="20"/>
              </w:rPr>
              <w:t xml:space="preserve">Drivers</w:t>
            </w:r>
          </w:p>
        </w:tc>
        <w:tc>
          <w:tcPr>
            <w:tcW w:type="dxa" w:w="6850"/>
            <w:tcMar>
              <w:top w:type="dxa" w:w="90"/>
              <w:left w:type="dxa" w:w="130"/>
              <w:bottom w:type="dxa" w:w="90"/>
              <w:right w:type="dxa" w:w="130"/>
            </w:tcMar>
            <w:vAlign w:val="center"/>
          </w:tcPr>
          <w:p>
            <w:pPr>
              <w:jc w:val="center"/>
            </w:pPr>
            <w:r>
              <w:rPr>
                <w:b w:val="false"/>
                <w:bCs w:val="false"/>
                <w:color w:val="1A1A1A"/>
                <w:sz w:val="20"/>
                <w:szCs w:val="20"/>
              </w:rPr>
              <w:t xml:space="preserve">the Section 5 forecast-error variance decomposition, browsable by panel and by instrument</w:t>
            </w:r>
          </w:p>
        </w:tc>
      </w:tr>
      <w:tr>
        <w:tc>
          <w:tcPr>
            <w:tcW w:type="dxa" w:w="2500"/>
            <w:tcMar>
              <w:top w:type="dxa" w:w="90"/>
              <w:left w:type="dxa" w:w="130"/>
              <w:bottom w:type="dxa" w:w="90"/>
              <w:right w:type="dxa" w:w="130"/>
            </w:tcMar>
            <w:vAlign w:val="center"/>
          </w:tcPr>
          <w:p>
            <w:pPr>
              <w:jc w:val="left"/>
            </w:pPr>
            <w:r>
              <w:rPr>
                <w:b w:val="false"/>
                <w:bCs w:val="false"/>
                <w:color w:val="1A1A1A"/>
                <w:sz w:val="20"/>
                <w:szCs w:val="20"/>
              </w:rPr>
              <w:t xml:space="preserve">Recommendations</w:t>
            </w:r>
          </w:p>
        </w:tc>
        <w:tc>
          <w:tcPr>
            <w:tcW w:type="dxa" w:w="6850"/>
            <w:tcMar>
              <w:top w:type="dxa" w:w="90"/>
              <w:left w:type="dxa" w:w="130"/>
              <w:bottom w:type="dxa" w:w="90"/>
              <w:right w:type="dxa" w:w="130"/>
            </w:tcMar>
            <w:vAlign w:val="center"/>
          </w:tcPr>
          <w:p>
            <w:pPr>
              <w:jc w:val="center"/>
            </w:pPr>
            <w:r>
              <w:rPr>
                <w:b w:val="false"/>
                <w:bCs w:val="false"/>
                <w:color w:val="1A1A1A"/>
                <w:sz w:val="20"/>
                <w:szCs w:val="20"/>
              </w:rPr>
              <w:t xml:space="preserve">the Section 9 unsupervised strong / neutral / weak classification, with the full metric sheet and attribution behind every instrument's placement</w:t>
            </w:r>
          </w:p>
        </w:tc>
      </w:tr>
      <w:tr>
        <w:tc>
          <w:tcPr>
            <w:tcW w:type="dxa" w:w="2500"/>
            <w:tcMar>
              <w:top w:type="dxa" w:w="90"/>
              <w:left w:type="dxa" w:w="130"/>
              <w:bottom w:type="dxa" w:w="90"/>
              <w:right w:type="dxa" w:w="130"/>
            </w:tcMar>
            <w:vAlign w:val="center"/>
          </w:tcPr>
          <w:p>
            <w:pPr>
              <w:jc w:val="left"/>
            </w:pPr>
            <w:r>
              <w:rPr>
                <w:b w:val="false"/>
                <w:bCs w:val="false"/>
                <w:color w:val="1A1A1A"/>
                <w:sz w:val="20"/>
                <w:szCs w:val="20"/>
              </w:rPr>
              <w:t xml:space="preserve">Signals</w:t>
            </w:r>
          </w:p>
        </w:tc>
        <w:tc>
          <w:tcPr>
            <w:tcW w:type="dxa" w:w="6850"/>
            <w:tcMar>
              <w:top w:type="dxa" w:w="90"/>
              <w:left w:type="dxa" w:w="130"/>
              <w:bottom w:type="dxa" w:w="90"/>
              <w:right w:type="dxa" w:w="130"/>
            </w:tcMar>
            <w:vAlign w:val="center"/>
          </w:tcPr>
          <w:p>
            <w:pPr>
              <w:jc w:val="center"/>
            </w:pPr>
            <w:r>
              <w:rPr>
                <w:b w:val="false"/>
                <w:bCs w:val="false"/>
                <w:color w:val="1A1A1A"/>
                <w:sz w:val="20"/>
                <w:szCs w:val="20"/>
              </w:rPr>
              <w:t xml:space="preserve">capabilities that are built and tested but gated behind a data-readiness condition not yet met — for example a signal requiring a minimum accrued history — shown with the explicit condition and, where determinable, the date it will be met, rather than hidden</w:t>
            </w:r>
          </w:p>
        </w:tc>
      </w:tr>
    </w:tbl>
    <w:p>
      <w:pPr>
        <w:pStyle w:val="Heading1"/>
        <w:pBdr>
          <w:bottom w:val="single" w:color="1F5EFF" w:sz="6" w:space="6"/>
        </w:pBdr>
        <w:spacing w:after="200" w:before="420"/>
      </w:pPr>
      <w:r>
        <w:rPr>
          <w:b/>
          <w:bCs/>
          <w:color w:val="1B2A4A"/>
          <w:sz w:val="30"/>
          <w:szCs w:val="30"/>
        </w:rPr>
        <w:t xml:space="preserve">12. System-Wide Design Principles and Limitations</w:t>
      </w:r>
    </w:p>
    <w:p>
      <w:pPr>
        <w:pStyle w:val="Heading2"/>
        <w:spacing w:after="140" w:before="300"/>
      </w:pPr>
      <w:r>
        <w:rPr>
          <w:b/>
          <w:bCs/>
          <w:color w:val="44546A"/>
          <w:sz w:val="25"/>
          <w:szCs w:val="25"/>
        </w:rPr>
        <w:t xml:space="preserve">12.1 Honesty about missing data</w:t>
      </w:r>
    </w:p>
    <w:p>
      <w:pPr>
        <w:spacing w:after="160" w:line="300"/>
        <w:jc w:val="both"/>
      </w:pPr>
      <w:r>
        <w:rPr>
          <w:sz w:val="22"/>
          <w:szCs w:val="22"/>
        </w:rPr>
        <w:t xml:space="preserve">Every module described in this document is built to report that a figure is unavailable, and why, rather than to substitute a placeholder, interpolate across unrelated markets, or otherwise imply an observation where none was actually made. A market with no free reliable source for a given leg, model or metric is shown as out of coverage for that specific piece — never silently as zero, and never as an estimate dressed up as a measurement.</w:t>
      </w:r>
    </w:p>
    <w:p>
      <w:pPr>
        <w:pStyle w:val="Heading2"/>
        <w:spacing w:after="140" w:before="300"/>
      </w:pPr>
      <w:r>
        <w:rPr>
          <w:b/>
          <w:bCs/>
          <w:color w:val="44546A"/>
          <w:sz w:val="25"/>
          <w:szCs w:val="25"/>
        </w:rPr>
        <w:t xml:space="preserve">12.2 Frequency-aware windows</w:t>
      </w:r>
    </w:p>
    <w:p>
      <w:pPr>
        <w:spacing w:after="160" w:line="300"/>
        <w:jc w:val="both"/>
      </w:pPr>
      <w:r>
        <w:rPr>
          <w:sz w:val="22"/>
          <w:szCs w:val="22"/>
        </w:rPr>
        <w:t xml:space="preserve">Every rolling-window computation in the platform — realised volatility, the dealer pricing window that feeds execution friction, the forecast-error accumulation behind every uncertainty band — is parameterised by the ACTUAL observation frequency of the panel it is applied to, daily or monthly, rather than by a fixed count of observations. A window specified only as a count of observations means a very different span of calendar time on a monthly panel than on a daily one, and treating them interchangeably was found, during development, to produce a fee calculation on a monthly euro-sovereign panel that spanned several years while being compared against shocks measured over roughly a year — silently making every position on that panel look like a guaranteed loss for a reason that had nothing to do with the market itself.</w:t>
      </w:r>
    </w:p>
    <w:p>
      <w:pPr>
        <w:pStyle w:val="Heading2"/>
        <w:spacing w:after="140" w:before="300"/>
      </w:pPr>
      <w:r>
        <w:rPr>
          <w:b/>
          <w:bCs/>
          <w:color w:val="44546A"/>
          <w:sz w:val="25"/>
          <w:szCs w:val="25"/>
        </w:rPr>
        <w:t xml:space="preserve">12.3 Duration applied once, consistently</w:t>
      </w:r>
    </w:p>
    <w:p>
      <w:pPr>
        <w:spacing w:after="160" w:line="300"/>
        <w:jc w:val="both"/>
      </w:pPr>
      <w:r>
        <w:rPr>
          <w:sz w:val="22"/>
          <w:szCs w:val="22"/>
        </w:rPr>
        <w:t xml:space="preserve">Everywhere a level — a spread or a yield — is converted into a basis-point return, the same instrument-class duration constant of Section 2.2 is applied exactly once: never omitted, which would silently treat a one-basis-point move in the level as one basis point of return regardless of the instrument's actual sensitivity, and never applied twice, which compounds the same error in the opposite direction.</w:t>
      </w:r>
    </w:p>
    <w:p>
      <w:pPr>
        <w:pStyle w:val="Heading2"/>
        <w:spacing w:after="140" w:before="300"/>
      </w:pPr>
      <w:r>
        <w:rPr>
          <w:b/>
          <w:bCs/>
          <w:color w:val="44546A"/>
          <w:sz w:val="25"/>
          <w:szCs w:val="25"/>
        </w:rPr>
        <w:t xml:space="preserve">12.4 Four distinct techniques, kept distinct</w:t>
      </w:r>
    </w:p>
    <w:p>
      <w:pPr>
        <w:spacing w:after="160" w:line="300"/>
        <w:jc w:val="both"/>
      </w:pPr>
      <w:r>
        <w:rPr>
          <w:sz w:val="22"/>
          <w:szCs w:val="22"/>
        </w:rPr>
        <w:t xml:space="preserve">A total-return construction, a fitted econometric forecasting model, an option-pricing model and an unsupervised statistical classifier are four different techniques, built to answer four different questions: what has this instrument actually paid a holder; what is it statistically likely to do next, with an honest band around that estimate; what does a volatility position on it cost to establish and what can it plausibly pay; and how does it compare, right now, to its own peers. The platform is explicit throughout about which of the four is answering a given question at any point, rather than blending their outputs into one undifferentiated number.</w:t>
      </w:r>
    </w:p>
    <w:p>
      <w:pPr>
        <w:pStyle w:val="Heading2"/>
        <w:spacing w:after="140" w:before="300"/>
      </w:pPr>
      <w:r>
        <w:rPr>
          <w:b/>
          <w:bCs/>
          <w:color w:val="44546A"/>
          <w:sz w:val="25"/>
          <w:szCs w:val="25"/>
        </w:rPr>
        <w:t xml:space="preserve">12.5 What none of this claims</w:t>
      </w:r>
    </w:p>
    <w:p>
      <w:pPr>
        <w:spacing w:after="90" w:line="290"/>
        <w:ind w:left="340" w:hanging="200"/>
        <w:jc w:val="both"/>
      </w:pPr>
      <w:r>
        <w:rPr>
          <w:b/>
          <w:bCs/>
          <w:color w:val="1F5EFF"/>
          <w:sz w:val="22"/>
          <w:szCs w:val="22"/>
        </w:rPr>
        <w:t xml:space="preserve">— </w:t>
      </w:r>
      <w:r>
        <w:rPr>
          <w:sz w:val="22"/>
          <w:szCs w:val="22"/>
        </w:rPr>
        <w:t xml:space="preserve">a forecast is a statistical projection with a stated uncertainty band, not a guarantee, and its horizon is explicitly limited by how much history supports it (Section 4.4);</w:t>
      </w:r>
    </w:p>
    <w:p>
      <w:pPr>
        <w:spacing w:after="90" w:line="290"/>
        <w:ind w:left="340" w:hanging="200"/>
        <w:jc w:val="both"/>
      </w:pPr>
      <w:r>
        <w:rPr>
          <w:b/>
          <w:bCs/>
          <w:color w:val="1F5EFF"/>
          <w:sz w:val="22"/>
          <w:szCs w:val="22"/>
        </w:rPr>
        <w:t xml:space="preserve">— </w:t>
      </w:r>
      <w:r>
        <w:rPr>
          <w:sz w:val="22"/>
          <w:szCs w:val="22"/>
        </w:rPr>
        <w:t xml:space="preserve">a volatility position's expected value is a model output conditional on the fitted forecast distribution, not a promised payoff, and is shown net of the same costs — dealer markup, financing, execution friction — that a real position would actually incur (Section 7);</w:t>
      </w:r>
    </w:p>
    <w:p>
      <w:pPr>
        <w:spacing w:after="90" w:line="290"/>
        <w:ind w:left="340" w:hanging="200"/>
        <w:jc w:val="both"/>
      </w:pPr>
      <w:r>
        <w:rPr>
          <w:b/>
          <w:bCs/>
          <w:color w:val="1F5EFF"/>
          <w:sz w:val="22"/>
          <w:szCs w:val="22"/>
        </w:rPr>
        <w:t xml:space="preserve">— </w:t>
      </w:r>
      <w:r>
        <w:rPr>
          <w:sz w:val="22"/>
          <w:szCs w:val="22"/>
        </w:rPr>
        <w:t xml:space="preserve">an unsupervised classification is a relative ranking inside the specific universe of instruments present when it runs, built entirely from realised history, and is not itself a forecast or a recommendation to transact (Section 9.8);</w:t>
      </w:r>
    </w:p>
    <w:p>
      <w:pPr>
        <w:spacing w:after="90" w:line="290"/>
        <w:ind w:left="340" w:hanging="200"/>
        <w:jc w:val="both"/>
      </w:pPr>
      <w:r>
        <w:rPr>
          <w:b/>
          <w:bCs/>
          <w:color w:val="1F5EFF"/>
          <w:sz w:val="22"/>
          <w:szCs w:val="22"/>
        </w:rPr>
        <w:t xml:space="preserve">— </w:t>
      </w:r>
      <w:r>
        <w:rPr>
          <w:sz w:val="22"/>
          <w:szCs w:val="22"/>
        </w:rPr>
        <w:t xml:space="preserve">every reported figure traces to an explicit, disclosed formula operating on live public data; nothing on the platform is produced by an opaque model whose reasoning cannot be inspected.</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fldChar w:fldCharType="begin"/>
      <w:instrText xml:space="preserve">PAGE</w:instrText>
      <w:fldChar w:fldCharType="separate"/>
      <w:fldChar w:fldCharType="end"/>
    </w:r>
    <w:r>
      <w:rPr>
        <w:color w:val="5B6472"/>
        <w:sz w:val="18"/>
        <w:szCs w:val="18"/>
      </w:rPr>
      <w:t xml:space="preserve">  of  </w:t>
    </w:r>
    <w:r>
      <w:rPr>
        <w:color w:val="5B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A" w:sz="4" w:space="4"/>
      </w:pBdr>
      <w:jc w:val="right"/>
    </w:pPr>
    <w:r>
      <w:rPr>
        <w:color w:val="5B6472"/>
        <w:spacing w:val="10"/>
        <w:sz w:val="15"/>
        <w:szCs w:val="15"/>
      </w:rPr>
      <w:t xml:space="preserve">PUBLIC CREDIT — OPPORTUNITY ENGINE  ·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2026-08-15T13:05:07.446Z</dcterms:created>
  <dcterms:modified xsi:type="dcterms:W3CDTF">2026-08-15T13:05:07.453Z</dcterms:modified>
</cp:coreProperties>
</file>

<file path=docProps/custom.xml><?xml version="1.0" encoding="utf-8"?>
<Properties xmlns="http://schemas.openxmlformats.org/officeDocument/2006/custom-properties" xmlns:vt="http://schemas.openxmlformats.org/officeDocument/2006/docPropsVTypes"/>
</file>