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b/>
          <w:bCs/>
          <w:color w:val="7F6000"/>
          <w:sz w:val="22"/>
          <w:szCs w:val="22"/>
        </w:rPr>
        <w:t xml:space="preserve">DRAFT PROVISIONAL PATENT SPECIFICATION</w:t>
      </w:r>
    </w:p>
    <w:p>
      <w:pPr>
        <w:spacing w:before="120"/>
        <w:jc w:val="center"/>
      </w:pPr>
      <w:r>
        <w:rPr>
          <w:rFonts w:ascii="Calibri" w:cs="Calibri" w:eastAsia="Calibri" w:hAnsi="Calibri"/>
          <w:i/>
          <w:iCs/>
          <w:color w:val="7F6000"/>
          <w:sz w:val="18"/>
          <w:szCs w:val="18"/>
        </w:rPr>
        <w:t xml:space="preserve">(Internal working draft — for institutional IP-cell / patent-agent review. Not for public disclosure or filing as-is.)</w:t>
      </w:r>
    </w:p>
    <w:p>
      <w:pPr>
        <w:spacing w:after="200" w:before="900"/>
        <w:jc w:val="center"/>
      </w:pPr>
      <w:r>
        <w:rPr>
          <w:rFonts w:ascii="Calibri" w:cs="Calibri" w:eastAsia="Calibri" w:hAnsi="Calibri"/>
          <w:b/>
          <w:bCs/>
          <w:sz w:val="22"/>
          <w:szCs w:val="22"/>
        </w:rPr>
        <w:t xml:space="preserve">TITLE OF THE INVENTION</w:t>
      </w:r>
    </w:p>
    <w:p>
      <w:pPr>
        <w:spacing w:after="900"/>
        <w:jc w:val="center"/>
      </w:pPr>
      <w:r>
        <w:rPr>
          <w:rFonts w:ascii="Calibri" w:cs="Calibri" w:eastAsia="Calibri" w:hAnsi="Calibri"/>
          <w:b/>
          <w:bCs/>
          <w:sz w:val="26"/>
          <w:szCs w:val="26"/>
        </w:rPr>
        <w:t xml:space="preserve">A Regime-Conditioned Autoencoder System with Conformal-Calibrated Dynamic Thresholding and Per-Sensor Anomaly Attribution for Early Failure Detection in Turbofan Engines</w:t>
      </w:r>
    </w:p>
    <w:p>
      <w:pPr>
        <w:spacing w:after="60" w:before="1200"/>
        <w:jc w:val="center"/>
      </w:pPr>
      <w:r>
        <w:rPr>
          <w:rFonts w:ascii="Calibri" w:cs="Calibri" w:eastAsia="Calibri" w:hAnsi="Calibri"/>
          <w:b/>
          <w:bCs/>
          <w:sz w:val="20"/>
          <w:szCs w:val="20"/>
        </w:rPr>
        <w:t xml:space="preserve">Applicant / Institution:</w:t>
      </w:r>
    </w:p>
    <w:p>
      <w:pPr>
        <w:spacing w:after="300"/>
        <w:jc w:val="center"/>
      </w:pPr>
      <w:r>
        <w:rPr>
          <w:rFonts w:ascii="Calibri" w:cs="Calibri" w:eastAsia="Calibri" w:hAnsi="Calibri"/>
          <w:sz w:val="20"/>
          <w:szCs w:val="20"/>
        </w:rPr>
        <w:t xml:space="preserve">Vellore Institute of Technology (VIT) — [Department / School to be confirmed]</w:t>
      </w:r>
    </w:p>
    <w:p>
      <w:pPr>
        <w:spacing w:after="60"/>
        <w:jc w:val="center"/>
      </w:pPr>
      <w:r>
        <w:rPr>
          <w:rFonts w:ascii="Calibri" w:cs="Calibri" w:eastAsia="Calibri" w:hAnsi="Calibri"/>
          <w:b/>
          <w:bCs/>
          <w:sz w:val="20"/>
          <w:szCs w:val="20"/>
        </w:rPr>
        <w:t xml:space="preserve">Inventors:</w:t>
      </w:r>
    </w:p>
    <w:p>
      <w:pPr>
        <w:spacing w:after="40"/>
        <w:jc w:val="center"/>
      </w:pPr>
      <w:r>
        <w:rPr>
          <w:rFonts w:ascii="Calibri" w:cs="Calibri" w:eastAsia="Calibri" w:hAnsi="Calibri"/>
          <w:sz w:val="20"/>
          <w:szCs w:val="20"/>
        </w:rPr>
        <w:t xml:space="preserve">Aryaman Ghaisas (23BDS0071)</w:t>
      </w:r>
    </w:p>
    <w:p>
      <w:pPr>
        <w:spacing w:after="40"/>
        <w:jc w:val="center"/>
      </w:pPr>
      <w:r>
        <w:rPr>
          <w:rFonts w:ascii="Calibri" w:cs="Calibri" w:eastAsia="Calibri" w:hAnsi="Calibri"/>
          <w:sz w:val="20"/>
          <w:szCs w:val="20"/>
        </w:rPr>
        <w:t xml:space="preserve">Akriti Agarwal (23BDS0038)</w:t>
      </w:r>
    </w:p>
    <w:p>
      <w:pPr>
        <w:spacing w:after="400"/>
        <w:jc w:val="center"/>
      </w:pPr>
      <w:r>
        <w:rPr>
          <w:rFonts w:ascii="Calibri" w:cs="Calibri" w:eastAsia="Calibri" w:hAnsi="Calibri"/>
          <w:sz w:val="20"/>
          <w:szCs w:val="20"/>
        </w:rPr>
        <w:t xml:space="preserve">Nethra Krishnan (23BDS0093)</w:t>
      </w:r>
    </w:p>
    <w:p>
      <w:pPr>
        <w:spacing w:after="40"/>
        <w:jc w:val="center"/>
      </w:pPr>
      <w:r>
        <w:rPr>
          <w:rFonts w:ascii="Calibri" w:cs="Calibri" w:eastAsia="Calibri" w:hAnsi="Calibri"/>
          <w:sz w:val="18"/>
          <w:szCs w:val="18"/>
        </w:rPr>
        <w:t xml:space="preserve">Draft date: 11 September 2026  ·  Prepared for: Project Review 2</w:t>
      </w:r>
    </w:p>
    <w:p>
      <w:r>
        <w:br w:type="page"/>
      </w:r>
    </w:p>
    <w:p>
      <w:pPr>
        <w:pStyle w:val="Heading1"/>
        <w:spacing w:after="160" w:before="320"/>
      </w:pPr>
      <w:r>
        <w:rPr>
          <w:rFonts w:ascii="Calibri" w:cs="Calibri" w:eastAsia="Calibri" w:hAnsi="Calibri"/>
          <w:b/>
          <w:bCs/>
          <w:sz w:val="26"/>
          <w:szCs w:val="26"/>
        </w:rPr>
        <w:t xml:space="preserve">Status Note (read before use)</w:t>
      </w:r>
    </w:p>
    <w:p>
      <w:pPr>
        <w:spacing w:after="160"/>
        <w:jc w:val="both"/>
      </w:pPr>
      <w:r>
        <w:rPr>
          <w:rFonts w:ascii="Calibri" w:cs="Calibri" w:eastAsia="Calibri" w:hAnsi="Calibri"/>
          <w:sz w:val="22"/>
          <w:szCs w:val="22"/>
        </w:rPr>
        <w:t xml:space="preserve">This document is a working draft prepared by the student team to organize the technical disclosure for a possible provisional patent application. It is written in the conventional structure of an Indian provisional patent specification (Field of Invention, Background, Objects, Summary, Drawings, Detailed Description, Claims, Abstract) so that it can be handed to the institute's IP/Innovation cell or a registered patent agent as a starting technical draft — it is not itself a legal filing and no claim of novelty, patentability, or prior-art clearance made here has been professionally verified.</w:t>
      </w:r>
    </w:p>
    <w:p>
      <w:pPr>
        <w:pBdr>
          <w:left w:val="single" w:color="BF8F00" w:sz="18"/>
        </w:pBdr>
        <w:shd w:fill="FFF2CC" w:val="clear"/>
        <w:spacing w:after="240" w:before="120"/>
      </w:pPr>
      <w:r>
        <w:rPr>
          <w:rFonts w:ascii="Calibri" w:cs="Calibri" w:eastAsia="Calibri" w:hAnsi="Calibri"/>
          <w:i/>
          <w:iCs/>
          <w:sz w:val="20"/>
          <w:szCs w:val="20"/>
        </w:rPr>
        <w:t xml:space="preserve">Before any filing or public disclosure (including uploading this repository publicly, presenting at a conference, or publishing a paper): (1) contact the institution's IP/Innovation cell, (2) commission a formal patent search on Google Patents / Espacenet, and (3) keep this repository private and dated commit history intact as evidence of the invention timeline. India permits only a 12-month grace period for the inventor's own prior disclosure — publication should not precede a provisional filing.</w:t>
      </w:r>
    </w:p>
    <w:p>
      <w:pPr>
        <w:spacing w:after="160"/>
        <w:jc w:val="both"/>
      </w:pPr>
      <w:r>
        <w:rPr>
          <w:rFonts w:ascii="Calibri" w:cs="Calibri" w:eastAsia="Calibri" w:hAnsi="Calibri"/>
          <w:sz w:val="22"/>
          <w:szCs w:val="22"/>
        </w:rPr>
        <w:t xml:space="preserve">Implementation status as of this draft: the regime-conditioned autoencoder (element (b)–(c) below) is implemented and experimentally validated on NASA C-MAPSS FD001/FD002. The conformal-calibration module (element (e)) and the sensor-attribution module (element (f)) are specified in full below but are at the interface/stub stage in code — see Section 6.6 (Implementation Status) and the project's own AI_CONTEXT.md / IP_Strategy.md for detail. This does not block drafting the specification, since patent claims describe the invention, not merely code that already runs.</w:t>
      </w:r>
    </w:p>
    <w:p>
      <w:pPr>
        <w:pStyle w:val="Heading1"/>
        <w:spacing w:after="160" w:before="320"/>
      </w:pPr>
      <w:r>
        <w:rPr>
          <w:rFonts w:ascii="Calibri" w:cs="Calibri" w:eastAsia="Calibri" w:hAnsi="Calibri"/>
          <w:b/>
          <w:bCs/>
          <w:sz w:val="26"/>
          <w:szCs w:val="26"/>
        </w:rPr>
        <w:t xml:space="preserve">1. Field of the Invention</w:t>
      </w:r>
    </w:p>
    <w:p>
      <w:pPr>
        <w:spacing w:after="160"/>
        <w:jc w:val="both"/>
      </w:pPr>
      <w:r>
        <w:rPr>
          <w:rFonts w:ascii="Calibri" w:cs="Calibri" w:eastAsia="Calibri" w:hAnsi="Calibri"/>
          <w:sz w:val="22"/>
          <w:szCs w:val="22"/>
        </w:rPr>
        <w:t xml:space="preserve">The present invention relates generally to condition-based and predictive maintenance systems for mechanical and aerospace equipment, and more particularly to a computer-implemented method and system for detecting early-stage degradation in multivariate sensor data from a turbofan (or similarly instrumented rotating/thermal) engine, using a machine-learning autoencoder whose encoding and decoding are conditioned on the engine's operating regime, combined with a statistically calibrated dynamic anomaly threshold and a per-sensor explanation of each detected anomaly.</w:t>
      </w:r>
    </w:p>
    <w:p>
      <w:pPr>
        <w:pStyle w:val="Heading1"/>
        <w:spacing w:after="160" w:before="320"/>
      </w:pPr>
      <w:r>
        <w:rPr>
          <w:rFonts w:ascii="Calibri" w:cs="Calibri" w:eastAsia="Calibri" w:hAnsi="Calibri"/>
          <w:b/>
          <w:bCs/>
          <w:sz w:val="26"/>
          <w:szCs w:val="26"/>
        </w:rPr>
        <w:t xml:space="preserve">2. Background of the Invention</w:t>
      </w:r>
    </w:p>
    <w:p>
      <w:pPr>
        <w:spacing w:after="160"/>
        <w:jc w:val="both"/>
      </w:pPr>
      <w:r>
        <w:rPr>
          <w:rFonts w:ascii="Calibri" w:cs="Calibri" w:eastAsia="Calibri" w:hAnsi="Calibri"/>
          <w:sz w:val="22"/>
          <w:szCs w:val="22"/>
        </w:rPr>
        <w:t xml:space="preserve">Aircraft engines and other complex rotating machinery degrade gradually under continuous thermal and mechanical stress. Unplanned in-service failures are costly, disruptive, and safety-critical, while fixed-interval scheduled maintenance discards useful remaining component life. Predictive maintenance systems therefore attempt to infer engine health directly from multivariate sensor telemetry (temperatures, pressures, speeds, flows) and the engine's commanded operating settings.</w:t>
      </w:r>
    </w:p>
    <w:p>
      <w:pPr>
        <w:spacing w:after="160"/>
        <w:jc w:val="both"/>
      </w:pPr>
      <w:r>
        <w:rPr>
          <w:rFonts w:ascii="Calibri" w:cs="Calibri" w:eastAsia="Calibri" w:hAnsi="Calibri"/>
          <w:sz w:val="22"/>
          <w:szCs w:val="22"/>
        </w:rPr>
        <w:t xml:space="preserve">A widely used unsupervised approach trains a deep autoencoder on sensor windows drawn only from healthy operating cycles, so that the network learns to reconstruct normal behaviour with low error. During degradation the sensor pattern drifts away from the learned healthy manifold and the reconstruction error rises; an alarm is raised once this error exceeds a threshold. This general scheme (healthy-cycle autoencoder → reconstruction error → threshold → alarm) is described in prior published work, including Al Bataineh et al. (2020) and related literature on autoencoder-based anomaly detection for turbofan engines, and is treated here as the established baseline against which the present invention improves.</w:t>
      </w:r>
    </w:p>
    <w:p>
      <w:pPr>
        <w:pStyle w:val="Heading2"/>
        <w:spacing w:after="120" w:before="240"/>
      </w:pPr>
      <w:r>
        <w:rPr>
          <w:rFonts w:ascii="Calibri" w:cs="Calibri" w:eastAsia="Calibri" w:hAnsi="Calibri"/>
          <w:b/>
          <w:bCs/>
          <w:sz w:val="24"/>
          <w:szCs w:val="24"/>
        </w:rPr>
        <w:t xml:space="preserve">2.1 Deficiencies in the existing art</w:t>
      </w:r>
    </w:p>
    <w:p>
      <w:pPr>
        <w:pStyle w:val="ListParagraph"/>
        <w:numPr>
          <w:ilvl w:val="0"/>
          <w:numId w:val="2"/>
        </w:numPr>
        <w:spacing w:after="100"/>
      </w:pPr>
      <w:r>
        <w:rPr>
          <w:rFonts w:ascii="Calibri" w:cs="Calibri" w:eastAsia="Calibri" w:hAnsi="Calibri"/>
          <w:sz w:val="22"/>
          <w:szCs w:val="22"/>
        </w:rPr>
        <w:t xml:space="preserve">Fixed or globally-tuned reconstruction-error thresholds (a single scalar cut-off, or one manually chosen per dataset) produce a poor trade-off between missed detections and false alarms once the engine operates across more than one flight regime, because the "normal" reconstruction-error level itself shifts with operating condition.</w:t>
      </w:r>
    </w:p>
    <w:p>
      <w:pPr>
        <w:pStyle w:val="ListParagraph"/>
        <w:numPr>
          <w:ilvl w:val="0"/>
          <w:numId w:val="2"/>
        </w:numPr>
        <w:spacing w:after="100"/>
      </w:pPr>
      <w:r>
        <w:rPr>
          <w:rFonts w:ascii="Calibri" w:cs="Calibri" w:eastAsia="Calibri" w:hAnsi="Calibri"/>
          <w:sz w:val="22"/>
          <w:szCs w:val="22"/>
        </w:rPr>
        <w:t xml:space="preserve">Existing autoencoder detectors are commonly trained and evaluated on a single operating condition (e.g. the NASA C-MAPSS FD001 sub-dataset) and do not generalize a single shared model across multiple simultaneous operating regimes (e.g. FD002/FD004, which combine six discrete flight-condition regimes) without retraining.</w:t>
      </w:r>
    </w:p>
    <w:p>
      <w:pPr>
        <w:pStyle w:val="ListParagraph"/>
        <w:numPr>
          <w:ilvl w:val="0"/>
          <w:numId w:val="2"/>
        </w:numPr>
        <w:spacing w:after="100"/>
      </w:pPr>
      <w:r>
        <w:rPr>
          <w:rFonts w:ascii="Calibri" w:cs="Calibri" w:eastAsia="Calibri" w:hAnsi="Calibri"/>
          <w:sz w:val="22"/>
          <w:szCs w:val="22"/>
        </w:rPr>
        <w:t xml:space="preserve">Point anomaly scores produced by these systems carry no statistically calibrated guarantee on the resulting false-alarm rate; thresholds are heuristic (e.g. mean + k·standard-deviation) rather than derived from a distribution-free calibration procedure.</w:t>
      </w:r>
    </w:p>
    <w:p>
      <w:pPr>
        <w:pStyle w:val="ListParagraph"/>
        <w:numPr>
          <w:ilvl w:val="0"/>
          <w:numId w:val="2"/>
        </w:numPr>
        <w:spacing w:after="100"/>
      </w:pPr>
      <w:r>
        <w:rPr>
          <w:rFonts w:ascii="Calibri" w:cs="Calibri" w:eastAsia="Calibri" w:hAnsi="Calibri"/>
          <w:sz w:val="22"/>
          <w:szCs w:val="22"/>
        </w:rPr>
        <w:t xml:space="preserve">A scalar reconstruction-error alarm indicates that an anomaly exists but not which of the many measured sensor channels is driving it, which limits actionability for a maintenance engineer and limits trust in the alert.</w:t>
      </w:r>
    </w:p>
    <w:p>
      <w:pPr>
        <w:pStyle w:val="Heading2"/>
        <w:spacing w:after="120" w:before="240"/>
      </w:pPr>
      <w:r>
        <w:rPr>
          <w:rFonts w:ascii="Calibri" w:cs="Calibri" w:eastAsia="Calibri" w:hAnsi="Calibri"/>
          <w:b/>
          <w:bCs/>
          <w:sz w:val="24"/>
          <w:szCs w:val="24"/>
        </w:rPr>
        <w:t xml:space="preserve">2.2 Closest known prior art</w:t>
      </w:r>
    </w:p>
    <w:p>
      <w:pPr>
        <w:spacing w:after="160"/>
        <w:jc w:val="both"/>
      </w:pPr>
      <w:r>
        <w:rPr>
          <w:rFonts w:ascii="Calibri" w:cs="Calibri" w:eastAsia="Calibri" w:hAnsi="Calibri"/>
          <w:sz w:val="22"/>
          <w:szCs w:val="22"/>
        </w:rPr>
        <w:t xml:space="preserve">The closest identified prior art is a 2026 pre-print (arXiv 2601.10269), "Early Fault Detection on C-MAPSS with Unsupervised LSTM Autoencoders," which removes operating-condition effects through a regression-based normalization pre-processing step applied before an LSTM autoencoder, and then applies an adaptive, data-driven threshold. Also relevant are US 11,521,430 ("System and method for monitoring a turbomachine with anomaly detection corrected by a wear factor") and US 12,140,075 ("Methods and systems for operating an aircraft engine," describing a dynamic/adjustable threshold based on engine health or age). None of these references conditions the autoencoder itself on a learned operating-regime embedding, none derives its threshold through conformal calibration with a distribution-free false-alarm guarantee, and none decomposes the anomaly score into ranked per-sensor contributions. Table 1 in Section 6.7 summarizes this differentiation.</w:t>
      </w:r>
    </w:p>
    <w:p>
      <w:pPr>
        <w:spacing w:after="160"/>
        <w:jc w:val="both"/>
      </w:pPr>
      <w:r>
        <w:rPr>
          <w:rFonts w:ascii="Calibri" w:cs="Calibri" w:eastAsia="Calibri" w:hAnsi="Calibri"/>
          <w:sz w:val="22"/>
          <w:szCs w:val="22"/>
        </w:rPr>
        <w:t xml:space="preserve">It is against this background that the present invention was devised.</w:t>
      </w:r>
    </w:p>
    <w:p>
      <w:pPr>
        <w:pStyle w:val="Heading1"/>
        <w:spacing w:after="160" w:before="320"/>
      </w:pPr>
      <w:r>
        <w:rPr>
          <w:rFonts w:ascii="Calibri" w:cs="Calibri" w:eastAsia="Calibri" w:hAnsi="Calibri"/>
          <w:b/>
          <w:bCs/>
          <w:sz w:val="26"/>
          <w:szCs w:val="26"/>
        </w:rPr>
        <w:t xml:space="preserve">3. Objects of the Invention</w:t>
      </w:r>
    </w:p>
    <w:p>
      <w:pPr>
        <w:pStyle w:val="ListParagraph"/>
        <w:numPr>
          <w:ilvl w:val="0"/>
          <w:numId w:val="2"/>
        </w:numPr>
        <w:spacing w:after="100"/>
      </w:pPr>
      <w:r>
        <w:rPr>
          <w:rFonts w:ascii="Calibri" w:cs="Calibri" w:eastAsia="Calibri" w:hAnsi="Calibri"/>
          <w:sz w:val="22"/>
          <w:szCs w:val="22"/>
        </w:rPr>
        <w:t xml:space="preserve">To provide a single shared autoencoder model that generalizes across multiple operating regimes of a turbofan engine without per-regime retraining, by conditioning the encoder and decoder on a learned regime embedding derived from the engine's operating settings.</w:t>
      </w:r>
    </w:p>
    <w:p>
      <w:pPr>
        <w:pStyle w:val="ListParagraph"/>
        <w:numPr>
          <w:ilvl w:val="0"/>
          <w:numId w:val="2"/>
        </w:numPr>
        <w:spacing w:after="100"/>
      </w:pPr>
      <w:r>
        <w:rPr>
          <w:rFonts w:ascii="Calibri" w:cs="Calibri" w:eastAsia="Calibri" w:hAnsi="Calibri"/>
          <w:sz w:val="22"/>
          <w:szCs w:val="22"/>
        </w:rPr>
        <w:t xml:space="preserve">To provide a dynamic anomaly-detection threshold whose false-alarm behaviour is derived from a statistically principled, distribution-free conformal calibration procedure conditioned on operating regime, rather than from a manually tuned constant.</w:t>
      </w:r>
    </w:p>
    <w:p>
      <w:pPr>
        <w:pStyle w:val="ListParagraph"/>
        <w:numPr>
          <w:ilvl w:val="0"/>
          <w:numId w:val="2"/>
        </w:numPr>
        <w:spacing w:after="100"/>
      </w:pPr>
      <w:r>
        <w:rPr>
          <w:rFonts w:ascii="Calibri" w:cs="Calibri" w:eastAsia="Calibri" w:hAnsi="Calibri"/>
          <w:sz w:val="22"/>
          <w:szCs w:val="22"/>
        </w:rPr>
        <w:t xml:space="preserve">To provide, for every raised alert, a ranked decomposition of the anomaly score into the contribution of each individual sensor channel, so that the alert is accompanied by an explanation of which measurements are driving it.</w:t>
      </w:r>
    </w:p>
    <w:p>
      <w:pPr>
        <w:pStyle w:val="ListParagraph"/>
        <w:numPr>
          <w:ilvl w:val="0"/>
          <w:numId w:val="2"/>
        </w:numPr>
        <w:spacing w:after="100"/>
      </w:pPr>
      <w:r>
        <w:rPr>
          <w:rFonts w:ascii="Calibri" w:cs="Calibri" w:eastAsia="Calibri" w:hAnsi="Calibri"/>
          <w:sz w:val="22"/>
          <w:szCs w:val="22"/>
        </w:rPr>
        <w:t xml:space="preserve">To combine the foregoing three elements into a single early-failure-detection pipeline suitable for practical predictive-maintenance deployment, including on resource-constrained or edge computing platforms.</w:t>
      </w:r>
    </w:p>
    <w:p>
      <w:pPr>
        <w:pStyle w:val="ListParagraph"/>
        <w:numPr>
          <w:ilvl w:val="0"/>
          <w:numId w:val="2"/>
        </w:numPr>
        <w:spacing w:after="100"/>
      </w:pPr>
      <w:r>
        <w:rPr>
          <w:rFonts w:ascii="Calibri" w:cs="Calibri" w:eastAsia="Calibri" w:hAnsi="Calibri"/>
          <w:sz w:val="22"/>
          <w:szCs w:val="22"/>
        </w:rPr>
        <w:t xml:space="preserve">To optionally extend the shared regime-conditioned latent representation with a remaining-useful-life (RUL) regression head trained with an asymmetric loss that penalizes late (dangerous) predictions more heavily than early ones.</w:t>
      </w:r>
    </w:p>
    <w:p>
      <w:pPr>
        <w:pStyle w:val="Heading1"/>
        <w:spacing w:after="160" w:before="320"/>
      </w:pPr>
      <w:r>
        <w:rPr>
          <w:rFonts w:ascii="Calibri" w:cs="Calibri" w:eastAsia="Calibri" w:hAnsi="Calibri"/>
          <w:b/>
          <w:bCs/>
          <w:sz w:val="26"/>
          <w:szCs w:val="26"/>
        </w:rPr>
        <w:t xml:space="preserve">4. Summary of the Invention</w:t>
      </w:r>
    </w:p>
    <w:p>
      <w:pPr>
        <w:spacing w:after="160"/>
        <w:jc w:val="both"/>
      </w:pPr>
      <w:r>
        <w:rPr>
          <w:rFonts w:ascii="Calibri" w:cs="Calibri" w:eastAsia="Calibri" w:hAnsi="Calibri"/>
          <w:sz w:val="22"/>
          <w:szCs w:val="22"/>
        </w:rPr>
        <w:t xml:space="preserve">The invention is a computer-implemented method and corresponding system, referred to herein as "the regime-conditioned early-failure-detection pipeline," comprising three principal, jointly operating elements:</w:t>
      </w:r>
    </w:p>
    <w:p>
      <w:pPr>
        <w:pStyle w:val="ListParagraph"/>
        <w:numPr>
          <w:ilvl w:val="0"/>
          <w:numId w:val="2"/>
        </w:numPr>
        <w:spacing w:after="100"/>
      </w:pPr>
      <w:r>
        <w:rPr>
          <w:rFonts w:ascii="Calibri" w:cs="Calibri" w:eastAsia="Calibri" w:hAnsi="Calibri"/>
          <w:b w:val="false"/>
          <w:bCs w:val="false"/>
          <w:sz w:val="22"/>
          <w:szCs w:val="22"/>
        </w:rPr>
        <w:t xml:space="preserve">A regime-conditioned autoencoder, in which a small regime-embedding sub-network maps the engine's operating settings (e.g. altitude, throttle-resolver angle, Mach number, or analogous commanded settings) to a low-dimensional regime-embedding vector, which is then used to condition — by concatenation or by feature-wise linear modulation (FiLM-style scale-and-shift) — the encoder and/or decoder of a deep autoencoder operating on the engine's multivariate sensor stream.</w:t>
      </w:r>
    </w:p>
    <w:p>
      <w:pPr>
        <w:pStyle w:val="ListParagraph"/>
        <w:numPr>
          <w:ilvl w:val="0"/>
          <w:numId w:val="2"/>
        </w:numPr>
        <w:spacing w:after="100"/>
      </w:pPr>
      <w:r>
        <w:rPr>
          <w:rFonts w:ascii="Calibri" w:cs="Calibri" w:eastAsia="Calibri" w:hAnsi="Calibri"/>
          <w:sz w:val="22"/>
          <w:szCs w:val="22"/>
        </w:rPr>
        <w:t xml:space="preserve">A conformal-calibrated dynamic threshold, in which reconstruction errors computed on a held-out set of healthy-cycle calibration windows, grouped by regime embedding, are used to derive a distribution-free quantile threshold per regime, giving the resulting alarm a statistically bounded false-alarm rate (illustrative target: no more than 5% false alarms at 95% confidence) instead of a heuristic cut-off.</w:t>
      </w:r>
    </w:p>
    <w:p>
      <w:pPr>
        <w:pStyle w:val="ListParagraph"/>
        <w:numPr>
          <w:ilvl w:val="0"/>
          <w:numId w:val="2"/>
        </w:numPr>
        <w:spacing w:after="100"/>
      </w:pPr>
      <w:r>
        <w:rPr>
          <w:rFonts w:ascii="Calibri" w:cs="Calibri" w:eastAsia="Calibri" w:hAnsi="Calibri"/>
          <w:sz w:val="22"/>
          <w:szCs w:val="22"/>
        </w:rPr>
        <w:t xml:space="preserve">A per-sensor attribution module, which decomposes the aggregate reconstruction error at the moment of an alert into per-channel contributions across the sensor and setting channels, ranks them, and attaches the ranked list (together with the engine identifier, cycle index, anomaly score, threshold value, and alert status) to the generated alert.</w:t>
      </w:r>
    </w:p>
    <w:p>
      <w:pPr>
        <w:spacing w:after="160"/>
        <w:jc w:val="both"/>
      </w:pPr>
      <w:r>
        <w:rPr>
          <w:rFonts w:ascii="Calibri" w:cs="Calibri" w:eastAsia="Calibri" w:hAnsi="Calibri"/>
          <w:sz w:val="22"/>
          <w:szCs w:val="22"/>
        </w:rPr>
        <w:t xml:space="preserve">These three elements are individually known in isolated subfields — regime/condition-aware normalization in industrial fault detection, conformal prediction in statistical machine learning, and channel-wise attribution in explainable AI — but have not, to the knowledge of the inventors, been found combined into a single early-warning pipeline for turbofan engines. The combination, and specifically the use of a regime embedding to condition both the autoencoder and the conformal calibration step, is the core contribution claimed herein.</w:t>
      </w:r>
    </w:p>
    <w:p>
      <w:pPr>
        <w:spacing w:after="160"/>
        <w:jc w:val="both"/>
      </w:pPr>
      <w:r>
        <w:rPr>
          <w:rFonts w:ascii="Calibri" w:cs="Calibri" w:eastAsia="Calibri" w:hAnsi="Calibri"/>
          <w:sz w:val="22"/>
          <w:szCs w:val="22"/>
        </w:rPr>
        <w:t xml:space="preserve">As a stretch embodiment, the shared regime-conditioned latent representation may additionally feed a remaining-useful-life (RUL) regression head, jointly trained with the reconstruction objective using a loss term that penalizes late RUL predictions more heavily than early ones (an asymmetric loss related to the NASA turbofan RUL scoring function).</w:t>
      </w:r>
    </w:p>
    <w:p>
      <w:pPr>
        <w:pStyle w:val="Heading1"/>
        <w:spacing w:after="160" w:before="320"/>
      </w:pPr>
      <w:r>
        <w:rPr>
          <w:rFonts w:ascii="Calibri" w:cs="Calibri" w:eastAsia="Calibri" w:hAnsi="Calibri"/>
          <w:b/>
          <w:bCs/>
          <w:sz w:val="26"/>
          <w:szCs w:val="26"/>
        </w:rPr>
        <w:t xml:space="preserve">5. Brief Description of the Drawings</w:t>
      </w:r>
    </w:p>
    <w:p>
      <w:pPr>
        <w:spacing w:after="160"/>
        <w:jc w:val="both"/>
      </w:pPr>
      <w:r>
        <w:rPr>
          <w:rFonts w:ascii="Calibri" w:cs="Calibri" w:eastAsia="Calibri" w:hAnsi="Calibri"/>
          <w:sz w:val="22"/>
          <w:szCs w:val="22"/>
        </w:rPr>
        <w:t xml:space="preserve">Figure 1 shows the baseline (prior-art-equivalent) pipeline: sensor and operating-setting data are preprocessed, healthy-region cycles are selected and normalized, a vanilla autoencoder is trained on sliding windows of the resulting data, reconstruction error is computed, and a fixed threshold produces an anomaly / early-warning signal.</w:t>
      </w:r>
    </w:p>
    <w:p>
      <w:pPr>
        <w:spacing w:after="160"/>
        <w:jc w:val="both"/>
      </w:pPr>
      <w:r>
        <w:rPr>
          <w:rFonts w:ascii="Calibri" w:cs="Calibri" w:eastAsia="Calibri" w:hAnsi="Calibri"/>
          <w:sz w:val="22"/>
          <w:szCs w:val="22"/>
        </w:rPr>
        <w:t xml:space="preserve">Figure 2 shows the proposed pipeline of the present invention: sensor streams and operating settings are supplied in parallel; the operating settings are passed through a regime-embedding sub-network; the resulting regime embedding conditions the autoencoder's encoder/decoder; the reconstruction error produced is passed both to a conformal-calibration stage, which yields a regime-aware dynamic threshold, and to a per-sensor attribution stage; the two outputs are combined into an early-failure alert carrying both a detection decision and a ranked sensor explanation.</w:t>
      </w:r>
    </w:p>
    <w:p>
      <w:pPr>
        <w:spacing w:after="160"/>
        <w:jc w:val="both"/>
      </w:pPr>
      <w:r>
        <w:rPr>
          <w:rFonts w:ascii="Calibri" w:cs="Calibri" w:eastAsia="Calibri" w:hAnsi="Calibri"/>
          <w:sz w:val="22"/>
          <w:szCs w:val="22"/>
        </w:rPr>
        <w:t xml:space="preserve">Figure 3 shows two alternative embodiments of the regime-conditioning mechanism referenced in Figure 2: (A) concatenation of the sensor-window embedding with the regime embedding prior to the encoder, and (B) feature-wise linear modulation (FiLM), in which the regime embedding generates a per-channel scale (γ) and shift (β) applied to an intermediate encoder representation h, i.e. h′ = γ(regime) ⊙ h + β(regime).</w:t>
      </w:r>
    </w:p>
    <w:p>
      <w:pPr>
        <w:spacing w:after="160"/>
        <w:jc w:val="both"/>
      </w:pPr>
      <w:r>
        <w:rPr>
          <w:rFonts w:ascii="Calibri" w:cs="Calibri" w:eastAsia="Calibri" w:hAnsi="Calibri"/>
          <w:sz w:val="22"/>
          <w:szCs w:val="22"/>
        </w:rPr>
        <w:t xml:space="preserve">Figure 4 shows an optional stretch embodiment in which the shared regime-conditioned latent vector additionally feeds a remaining-useful-life regression head, trained jointly with the reconstruction branch under a combined loss L = reconstruction_loss + λ · asymmetric_RUL_loss.</w:t>
      </w:r>
    </w:p>
    <w:p>
      <w:pPr>
        <w:spacing w:after="160"/>
        <w:jc w:val="both"/>
      </w:pPr>
      <w:r>
        <w:rPr>
          <w:rFonts w:ascii="Calibri" w:cs="Calibri" w:eastAsia="Calibri" w:hAnsi="Calibri"/>
          <w:sz w:val="22"/>
          <w:szCs w:val="22"/>
        </w:rPr>
        <w:t xml:space="preserve">(Corresponding drawing sheets to be prepared separately in the format required by the receiving patent office; the pipeline block diagrams already produced for the project's review presentation — see the accompanying slide deck — may be adapted directly for this purpose.)</w:t>
      </w:r>
    </w:p>
    <w:p>
      <w:pPr>
        <w:pStyle w:val="Heading1"/>
        <w:spacing w:after="160" w:before="320"/>
      </w:pPr>
      <w:r>
        <w:rPr>
          <w:rFonts w:ascii="Calibri" w:cs="Calibri" w:eastAsia="Calibri" w:hAnsi="Calibri"/>
          <w:b/>
          <w:bCs/>
          <w:sz w:val="26"/>
          <w:szCs w:val="26"/>
        </w:rPr>
        <w:t xml:space="preserve">6. Detailed Description of the Invention</w:t>
      </w:r>
    </w:p>
    <w:p>
      <w:pPr>
        <w:pStyle w:val="Heading2"/>
        <w:spacing w:after="120" w:before="240"/>
      </w:pPr>
      <w:r>
        <w:rPr>
          <w:rFonts w:ascii="Calibri" w:cs="Calibri" w:eastAsia="Calibri" w:hAnsi="Calibri"/>
          <w:b/>
          <w:bCs/>
          <w:sz w:val="24"/>
          <w:szCs w:val="24"/>
        </w:rPr>
        <w:t xml:space="preserve">6.1 Input data and preprocessing</w:t>
      </w:r>
    </w:p>
    <w:p>
      <w:pPr>
        <w:spacing w:after="160"/>
        <w:jc w:val="both"/>
      </w:pPr>
      <w:r>
        <w:rPr>
          <w:rFonts w:ascii="Calibri" w:cs="Calibri" w:eastAsia="Calibri" w:hAnsi="Calibri"/>
          <w:sz w:val="22"/>
          <w:szCs w:val="22"/>
        </w:rPr>
        <w:t xml:space="preserve">In an illustrative, non-limiting embodiment, the invention is implemented on the NASA Commercial Modular Aero-Propulsion System Simulation (C-MAPSS) turbofan degradation dataset, which provides run-to-failure and truncated test trajectories for a fleet of simulated turbofan engines, each engine trajectory consisting of a sequence of operating cycles. For each cycle, 3 operating settings and 21 sensor measurements are recorded, giving 24 raw variables per cycle. Sub-datasets FD001–FD004 provide increasing operating-condition and fault-mode complexity: FD002 and FD004 combine six discrete operating regimes, while FD001 and FD003 use a single regime, which is why FD002 is used below as the primary validation dataset for regime conditioning.</w:t>
      </w:r>
    </w:p>
    <w:p>
      <w:pPr>
        <w:spacing w:after="160"/>
        <w:jc w:val="both"/>
      </w:pPr>
      <w:r>
        <w:rPr>
          <w:rFonts w:ascii="Calibri" w:cs="Calibri" w:eastAsia="Calibri" w:hAnsi="Calibri"/>
          <w:sz w:val="22"/>
          <w:szCs w:val="22"/>
        </w:rPr>
        <w:t xml:space="preserve">Preprocessing splits engines (never rows) into training, calibration, validation, and test sets so that no engine trajectory crosses a split boundary; normalization statistics and thresholds are fit only on the training/calibration portion; a healthy-region cycle range is selected per engine for autoencoder training; and fixed-length sliding windows are formed over the resulting per-engine sequences. This leakage-free construction is a supporting engineering detail, not itself a claimed novel element, but is necessary for the reported results to be valid.</w:t>
      </w:r>
    </w:p>
    <w:p>
      <w:pPr>
        <w:pStyle w:val="Heading2"/>
        <w:spacing w:after="120" w:before="240"/>
      </w:pPr>
      <w:r>
        <w:rPr>
          <w:rFonts w:ascii="Calibri" w:cs="Calibri" w:eastAsia="Calibri" w:hAnsi="Calibri"/>
          <w:b/>
          <w:bCs/>
          <w:sz w:val="24"/>
          <w:szCs w:val="24"/>
        </w:rPr>
        <w:t xml:space="preserve">6.2 Regime-embedding sub-network and conditioned autoencoder</w:t>
      </w:r>
    </w:p>
    <w:p>
      <w:pPr>
        <w:spacing w:after="160"/>
        <w:jc w:val="both"/>
      </w:pPr>
      <w:r>
        <w:rPr>
          <w:rFonts w:ascii="Calibri" w:cs="Calibri" w:eastAsia="Calibri" w:hAnsi="Calibri"/>
          <w:sz w:val="22"/>
          <w:szCs w:val="22"/>
        </w:rPr>
        <w:t xml:space="preserve">The three operating settings for a given window are passed through a small multilayer-perceptron regime encoder to produce a fixed-length regime-embedding vector. In one embodiment the regime encoder additionally receives a discrete regime cluster identifier (obtained, for example, by clustering the operating-setting space into a fixed number of regimes, e.g. six regimes for FD002/FD004) so that the embedding captures both the continuous operating point and its discrete regime membership.</w:t>
      </w:r>
    </w:p>
    <w:p>
      <w:pPr>
        <w:spacing w:after="160"/>
        <w:jc w:val="both"/>
      </w:pPr>
      <w:r>
        <w:rPr>
          <w:rFonts w:ascii="Calibri" w:cs="Calibri" w:eastAsia="Calibri" w:hAnsi="Calibri"/>
          <w:sz w:val="22"/>
          <w:szCs w:val="22"/>
        </w:rPr>
        <w:t xml:space="preserve">The regime embedding conditions a deep autoencoder that otherwise operates on the windowed sensor representation. Two alternative conditioning mechanisms are disclosed: (A) concatenation of the regime embedding with the sensor-window embedding before the encoder's bottleneck, and (B) feature-wise linear modulation (FiLM), in which the regime embedding is mapped to a per-channel scale and shift that multiplicatively and additively modulate an intermediate encoder activation. Embodiment (A) is preferred as the simpler, first-implemented mechanism; embodiment (B) is disclosed as an alternative offering potentially finer-grained conditioning at greater implementation complexity. The autoencoder is trained, using only healthy-region windows, to minimize a per-regime-normalized reconstruction loss (e.g. per-regime z-scoring of the reconstruction target), so that regimes with intrinsically different sensor variance do not dominate the training objective.</w:t>
      </w:r>
    </w:p>
    <w:p>
      <w:pPr>
        <w:spacing w:after="160"/>
        <w:jc w:val="both"/>
      </w:pPr>
      <w:r>
        <w:rPr>
          <w:rFonts w:ascii="Calibri" w:cs="Calibri" w:eastAsia="Calibri" w:hAnsi="Calibri"/>
          <w:sz w:val="22"/>
          <w:szCs w:val="22"/>
        </w:rPr>
        <w:t xml:space="preserve">A working embodiment of this element has been implemented and evaluated. On the FD002 sub-dataset — which combines six operating regimes — an unconditioned baseline autoencoder with a fixed threshold failed to separate healthy from degraded windows (test F1 = 0.00, ROC-AUC ≈ 0.48, i.e. no better than chance), because a single reconstruction-error scale could not accommodate the regime-dependent error distribution. The regime-conditioned autoencoder disclosed here, evaluated under the same protocol, achieved test precision 0.70, recall 0.67, F1 = 0.68, ROC-AUC = 0.96, at a false-alarm rate of 1.2% and a mean detection lead time of approximately 53 cycles ahead of failure. On the single-regime FD001 sub-dataset, where regime conditioning is not expected to help as much, the regime-conditioned model performed comparably to the best fixed/dynamic-threshold baseline (F1 ≈ 0.57), confirming the mechanism does not harm single-regime performance while substantially improving multi-regime performance. These figures are experimental results obtained under the project's own evaluation protocol and are reported here to demonstrate reduction to practice and technical effect, not as a claim of a specific guaranteed performance level.</w:t>
      </w:r>
    </w:p>
    <w:p>
      <w:pPr>
        <w:pStyle w:val="Heading2"/>
        <w:spacing w:after="120" w:before="240"/>
      </w:pPr>
      <w:r>
        <w:rPr>
          <w:rFonts w:ascii="Calibri" w:cs="Calibri" w:eastAsia="Calibri" w:hAnsi="Calibri"/>
          <w:b/>
          <w:bCs/>
          <w:sz w:val="24"/>
          <w:szCs w:val="24"/>
        </w:rPr>
        <w:t xml:space="preserve">6.3 Reconstruction error and conformal-calibrated dynamic threshold</w:t>
      </w:r>
    </w:p>
    <w:p>
      <w:pPr>
        <w:spacing w:after="160"/>
        <w:jc w:val="both"/>
      </w:pPr>
      <w:r>
        <w:rPr>
          <w:rFonts w:ascii="Calibri" w:cs="Calibri" w:eastAsia="Calibri" w:hAnsi="Calibri"/>
          <w:sz w:val="22"/>
          <w:szCs w:val="22"/>
        </w:rPr>
        <w:t xml:space="preserve">The reconstruction error for a window is computed as an aggregation (e.g. mean squared error) over time and channel of the difference between the input window and the autoencoder's reconstruction, optionally normalized by a per-channel or per-regime variance estimate so that noisier channels do not dominate the score.</w:t>
      </w:r>
    </w:p>
    <w:p>
      <w:pPr>
        <w:spacing w:after="160"/>
        <w:jc w:val="both"/>
      </w:pPr>
      <w:r>
        <w:rPr>
          <w:rFonts w:ascii="Calibri" w:cs="Calibri" w:eastAsia="Calibri" w:hAnsi="Calibri"/>
          <w:sz w:val="22"/>
          <w:szCs w:val="22"/>
        </w:rPr>
        <w:t xml:space="preserve">To obtain a statistically calibrated detection threshold, a held-out set of healthy-cycle windows — disjoint from both the autoencoder training set and the evaluation test set — is passed through the trained, regime-conditioned autoencoder to obtain a calibration set of reconstruction-error (nonconformity) scores, grouped by the regime embedding (or discrete regime identifier) associated with each window. For a desired miscoverage level α (e.g. α = 0.05), the (1 − α)-quantile of each regime's calibration scores is taken as that regime's detection threshold. Because this threshold is derived by conformal prediction, it carries a distribution-free, finite-sample guarantee that, on exchangeable healthy data, the empirical false-alarm rate will not exceed α in expectation — a materially different and stronger guarantee than a heuristic "mean + k·σ" or empirically swept threshold. At inference time, a new window's regime embedding selects the corresponding regime-specific threshold, against which its reconstruction error is compared to raise or suppress an alert.</w:t>
      </w:r>
    </w:p>
    <w:p>
      <w:pPr>
        <w:spacing w:after="160"/>
        <w:jc w:val="both"/>
      </w:pPr>
      <w:r>
        <w:rPr>
          <w:rFonts w:ascii="Calibri" w:cs="Calibri" w:eastAsia="Calibri" w:hAnsi="Calibri"/>
          <w:sz w:val="22"/>
          <w:szCs w:val="22"/>
        </w:rPr>
        <w:t xml:space="preserve">A precursor, non-conformal dynamic threshold (rolling mean plus k standard deviations, computed within a sliding window of recent healthy-looking data) is also disclosed as an intermediate embodiment and has been implemented and evaluated; it improves recall over a single fixed global threshold but does not, by itself, carry a calibration guarantee and is materially inferior in false-alarm control to the conformal embodiment. Its inclusion illustrates the engineering progression toward, and the necessity of, the conformal element.</w:t>
      </w:r>
    </w:p>
    <w:p>
      <w:pPr>
        <w:pBdr>
          <w:left w:val="single" w:color="BF8F00" w:sz="18"/>
        </w:pBdr>
        <w:shd w:fill="FFF2CC" w:val="clear"/>
        <w:spacing w:after="240" w:before="120"/>
      </w:pPr>
      <w:r>
        <w:rPr>
          <w:rFonts w:ascii="Calibri" w:cs="Calibri" w:eastAsia="Calibri" w:hAnsi="Calibri"/>
          <w:i/>
          <w:iCs/>
          <w:sz w:val="20"/>
          <w:szCs w:val="20"/>
        </w:rPr>
        <w:t xml:space="preserve">Implementation status: the conformal-calibration module described in this section is fully specified in the present disclosure; in the accompanying codebase it currently exists as a defined module interface (function signatures and contract) pending numerical implementation, scheduled ahead of any filing. This does not affect the description or claim scope, which describe the computational procedure rather than a specific code artifact.</w:t>
      </w:r>
    </w:p>
    <w:p>
      <w:pPr>
        <w:pStyle w:val="Heading2"/>
        <w:spacing w:after="120" w:before="240"/>
      </w:pPr>
      <w:r>
        <w:rPr>
          <w:rFonts w:ascii="Calibri" w:cs="Calibri" w:eastAsia="Calibri" w:hAnsi="Calibri"/>
          <w:b/>
          <w:bCs/>
          <w:sz w:val="24"/>
          <w:szCs w:val="24"/>
        </w:rPr>
        <w:t xml:space="preserve">6.4 Per-sensor attribution</w:t>
      </w:r>
    </w:p>
    <w:p>
      <w:pPr>
        <w:spacing w:after="160"/>
        <w:jc w:val="both"/>
      </w:pPr>
      <w:r>
        <w:rPr>
          <w:rFonts w:ascii="Calibri" w:cs="Calibri" w:eastAsia="Calibri" w:hAnsi="Calibri"/>
          <w:sz w:val="22"/>
          <w:szCs w:val="22"/>
        </w:rPr>
        <w:t xml:space="preserve">For any window whose reconstruction error is aggregated from per-channel squared reconstruction errors, the attribution module retains the per-channel component of that aggregation instead of discarding it. At the moment an alert is raised, the per-channel errors (across the 21 sensor channels and, where relevant, the 3 operating-setting channels) are ranked in descending order of contribution, and the top-k ranked channels, together with their contribution values, are attached to the alert record along with the engine identifier, the cycle index at which the alert was raised, the total anomaly score, the applicable (regime-specific, conformally calibrated) threshold, and the alert status. This produces an actionable, explainable alert (e.g. "engine 42, cycle 187: anomaly detected; top contributing channels: sensor 7 (0.31), sensor 11 (0.27), sensor 4 (0.22)") rather than an unexplained scalar flag.</w:t>
      </w:r>
    </w:p>
    <w:p>
      <w:pPr>
        <w:pBdr>
          <w:left w:val="single" w:color="BF8F00" w:sz="18"/>
        </w:pBdr>
        <w:shd w:fill="FFF2CC" w:val="clear"/>
        <w:spacing w:after="240" w:before="120"/>
      </w:pPr>
      <w:r>
        <w:rPr>
          <w:rFonts w:ascii="Calibri" w:cs="Calibri" w:eastAsia="Calibri" w:hAnsi="Calibri"/>
          <w:i/>
          <w:iCs/>
          <w:sz w:val="20"/>
          <w:szCs w:val="20"/>
        </w:rPr>
        <w:t xml:space="preserve">Implementation status: as with Section 6.3, this module is fully specified here; in the codebase it currently exists as a defined interface pending numerical implementation.</w:t>
      </w:r>
    </w:p>
    <w:p>
      <w:pPr>
        <w:pStyle w:val="Heading2"/>
        <w:spacing w:after="120" w:before="240"/>
      </w:pPr>
      <w:r>
        <w:rPr>
          <w:rFonts w:ascii="Calibri" w:cs="Calibri" w:eastAsia="Calibri" w:hAnsi="Calibri"/>
          <w:b/>
          <w:bCs/>
          <w:sz w:val="24"/>
          <w:szCs w:val="24"/>
        </w:rPr>
        <w:t xml:space="preserve">6.5 Optional joint remaining-useful-life (RUL) head</w:t>
      </w:r>
    </w:p>
    <w:p>
      <w:pPr>
        <w:spacing w:after="160"/>
        <w:jc w:val="both"/>
      </w:pPr>
      <w:r>
        <w:rPr>
          <w:rFonts w:ascii="Calibri" w:cs="Calibri" w:eastAsia="Calibri" w:hAnsi="Calibri"/>
          <w:sz w:val="22"/>
          <w:szCs w:val="22"/>
        </w:rPr>
        <w:t xml:space="preserve">In a further, non-essential embodiment, the shared regime-conditioned latent representation produced by the encoder additionally feeds a lightweight regression head that predicts the engine's remaining useful life in operating cycles. This head is trained jointly with the reconstruction objective, combining a standard reconstruction loss with an asymmetric RUL loss term (related to the NASA turbofan RUL scoring function) that penalizes late predictions — i.e. predicting more remaining life than actually exists — more heavily than early (conservative) predictions, reflecting the greater operational danger of an over-optimistic RUL estimate. This embodiment is disclosed as a stretch extension and is not required to practice the core three-element invention of Sections 6.2–6.4.</w:t>
      </w:r>
    </w:p>
    <w:p>
      <w:pPr>
        <w:pStyle w:val="Heading2"/>
        <w:spacing w:after="120" w:before="240"/>
      </w:pPr>
      <w:r>
        <w:rPr>
          <w:rFonts w:ascii="Calibri" w:cs="Calibri" w:eastAsia="Calibri" w:hAnsi="Calibri"/>
          <w:b/>
          <w:bCs/>
          <w:sz w:val="24"/>
          <w:szCs w:val="24"/>
        </w:rPr>
        <w:t xml:space="preserve">6.6 Overall system and example deployment</w:t>
      </w:r>
    </w:p>
    <w:p>
      <w:pPr>
        <w:spacing w:after="160"/>
        <w:jc w:val="both"/>
      </w:pPr>
      <w:r>
        <w:rPr>
          <w:rFonts w:ascii="Calibri" w:cs="Calibri" w:eastAsia="Calibri" w:hAnsi="Calibri"/>
          <w:sz w:val="22"/>
          <w:szCs w:val="22"/>
        </w:rPr>
        <w:t xml:space="preserve">The elements above combine into an end-to-end system: multivariate sensor and operating-setting data are ingested; a regime embedding is generated; the regime-conditioned autoencoder produces a reconstruction and hence a reconstruction-error signal; the conformal-calibration module supplies the applicable dynamic threshold; the attribution module supplies a ranked sensor explanation; and an early-failure alert — comprising a binary decision, the anomaly score, the threshold, the ranked sensor contributions, the engine identifier, and the cycle index — is generated and may be surfaced through a health-monitoring dashboard or transmitted to a maintenance-scheduling system. Because the autoencoder, embedding sub-network, and attribution computation are all lightweight relative to typical deep sequence models, the system is additionally suited to deployment on resource-constrained on-board or edge computing hardware; parameter count, model size, inference latency, and memory footprint are contemplated as reportable deployment characteristics of a given trained instance of the system, without limiting the invention to any particular hardware target.</w:t>
      </w:r>
    </w:p>
    <w:p>
      <w:pPr>
        <w:pStyle w:val="Heading2"/>
        <w:spacing w:after="120" w:before="240"/>
      </w:pPr>
      <w:r>
        <w:rPr>
          <w:rFonts w:ascii="Calibri" w:cs="Calibri" w:eastAsia="Calibri" w:hAnsi="Calibri"/>
          <w:b/>
          <w:bCs/>
          <w:sz w:val="24"/>
          <w:szCs w:val="24"/>
        </w:rPr>
        <w:t xml:space="preserve">6.7 Differentiation from identified prior art</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900"/>
        <w:gridCol w:w="3200"/>
      </w:tblGrid>
      <w:tr>
        <w:trPr>
          <w:tblHeader/>
        </w:trPr>
        <w:tc>
          <w:tcPr>
            <w:tcW w:type="dxa" w:w="26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Dimension</w:t>
            </w:r>
          </w:p>
        </w:tc>
        <w:tc>
          <w:tcPr>
            <w:tcW w:type="dxa" w:w="29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arXiv 2601.10269 (closest prior art)</w:t>
            </w:r>
          </w:p>
        </w:tc>
        <w:tc>
          <w:tcPr>
            <w:tcW w:type="dxa" w:w="29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Adjacent patents (US 11,521,430; US 12,140,075)</w:t>
            </w:r>
          </w:p>
        </w:tc>
        <w:tc>
          <w:tcPr>
            <w:tcW w:type="dxa" w:w="32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Present invention</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Handling of operating conditions</w:t>
            </w:r>
          </w:p>
        </w:tc>
        <w:tc>
          <w:tcPr>
            <w:tcW w:type="dxa" w:w="2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Regression-based normalization applied upstream of the model, as a pre-processing correction</w:t>
            </w:r>
          </w:p>
        </w:tc>
        <w:tc>
          <w:tcPr>
            <w:tcW w:type="dxa" w:w="2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Not condition-embedding based; wear-factor / age-based correction</w:t>
            </w:r>
          </w:p>
        </w:tc>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Regime embedding learned end-to-end and used to condition the autoencoder's own encoder/decoder (concatenation or FiLM)</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Detection threshold</w:t>
            </w:r>
          </w:p>
        </w:tc>
        <w:tc>
          <w:tcPr>
            <w:tcW w:type="dxa" w:w="2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Adaptive, data-driven heuristic threshold</w:t>
            </w:r>
          </w:p>
        </w:tc>
        <w:tc>
          <w:tcPr>
            <w:tcW w:type="dxa" w:w="2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Dynamic/adjustable threshold based on health or wear factor, not statistically calibrated</w:t>
            </w:r>
          </w:p>
        </w:tc>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Conformal calibration conditioned on regime embedding; distribution-free bounded false-alarm rate</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Explainability</w:t>
            </w:r>
          </w:p>
        </w:tc>
        <w:tc>
          <w:tcPr>
            <w:tcW w:type="dxa" w:w="2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Aggregate/scalar reconstruction error only</w:t>
            </w:r>
          </w:p>
        </w:tc>
        <w:tc>
          <w:tcPr>
            <w:tcW w:type="dxa" w:w="2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Not disclosed</w:t>
            </w:r>
          </w:p>
        </w:tc>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Per-sensor-channel attribution, ranked and attached to each alert</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Combination</w:t>
            </w:r>
          </w:p>
        </w:tc>
        <w:tc>
          <w:tcPr>
            <w:tcW w:type="dxa" w:w="2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Single mechanism (condition normalization + adaptive threshold)</w:t>
            </w:r>
          </w:p>
        </w:tc>
        <w:tc>
          <w:tcPr>
            <w:tcW w:type="dxa" w:w="2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Single mechanism (wear/age-corrected threshold)</w:t>
            </w:r>
          </w:p>
        </w:tc>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Three mechanisms fused in one pipeline: regime-conditioned model + conformal threshold + sensor attribution</w:t>
            </w:r>
          </w:p>
        </w:tc>
      </w:tr>
    </w:tbl>
    <w:p>
      <w:pPr>
        <w:spacing w:after="160"/>
        <w:jc w:val="both"/>
      </w:pPr>
      <w:r>
        <w:rPr>
          <w:rFonts w:ascii="Calibri" w:cs="Calibri" w:eastAsia="Calibri" w:hAnsi="Calibri"/>
          <w:sz w:val="22"/>
          <w:szCs w:val="22"/>
        </w:rPr>
        <w:t xml:space="preserve"/>
      </w:r>
    </w:p>
    <w:p>
      <w:pPr>
        <w:spacing w:after="160"/>
        <w:jc w:val="both"/>
      </w:pPr>
      <w:r>
        <w:rPr>
          <w:rFonts w:ascii="Calibri" w:cs="Calibri" w:eastAsia="Calibri" w:hAnsi="Calibri"/>
          <w:sz w:val="22"/>
          <w:szCs w:val="22"/>
        </w:rPr>
        <w:t xml:space="preserve">No single identified reference discloses conditioning the autoencoder's internal representation on a learned regime embedding, deriving its detection threshold via regime-conditioned conformal calibration, and attaching a per-sensor attribution to the resulting alert, in combination.</w:t>
      </w:r>
    </w:p>
    <w:p>
      <w:pPr>
        <w:pStyle w:val="Heading2"/>
        <w:spacing w:after="120" w:before="240"/>
      </w:pPr>
      <w:r>
        <w:rPr>
          <w:rFonts w:ascii="Calibri" w:cs="Calibri" w:eastAsia="Calibri" w:hAnsi="Calibri"/>
          <w:b/>
          <w:bCs/>
          <w:sz w:val="24"/>
          <w:szCs w:val="24"/>
        </w:rPr>
        <w:t xml:space="preserve">6.8 Implementation status summary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200"/>
        <w:gridCol w:w="4400"/>
      </w:tblGrid>
      <w:tr>
        <w:trPr>
          <w:tblHeader/>
        </w:trPr>
        <w:tc>
          <w:tcPr>
            <w:tcW w:type="dxa" w:w="52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Element</w:t>
            </w:r>
          </w:p>
        </w:tc>
        <w:tc>
          <w:tcPr>
            <w:tcW w:type="dxa" w:w="44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Status at time of this draft</w:t>
            </w:r>
          </w:p>
        </w:tc>
      </w:tr>
      <w:tr>
        <w:tc>
          <w:tcPr>
            <w:tcW w:type="dxa" w:w="5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Data pipeline (engine-level split, healthy-region selection, per-regime normalization, windowing)</w:t>
            </w:r>
          </w:p>
        </w:tc>
        <w:tc>
          <w:tcPr>
            <w:tcW w:type="dxa" w:w="4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Implemented and validated (leakage checks pass) — FD001, FD002</w:t>
            </w:r>
          </w:p>
        </w:tc>
      </w:tr>
      <w:tr>
        <w:tc>
          <w:tcPr>
            <w:tcW w:type="dxa" w:w="5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Baseline (unconditioned) autoencoder + fixed threshold</w:t>
            </w:r>
          </w:p>
        </w:tc>
        <w:tc>
          <w:tcPr>
            <w:tcW w:type="dxa" w:w="4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Implemented; trained and evaluated on FD001, FD002</w:t>
            </w:r>
          </w:p>
        </w:tc>
      </w:tr>
      <w:tr>
        <w:tc>
          <w:tcPr>
            <w:tcW w:type="dxa" w:w="5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Non-conformal dynamic threshold (precursor)</w:t>
            </w:r>
          </w:p>
        </w:tc>
        <w:tc>
          <w:tcPr>
            <w:tcW w:type="dxa" w:w="4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Implemented; trained and evaluated on FD001</w:t>
            </w:r>
          </w:p>
        </w:tc>
      </w:tr>
      <w:tr>
        <w:tc>
          <w:tcPr>
            <w:tcW w:type="dxa" w:w="5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Regime-conditioned autoencoder (Section 6.2)</w:t>
            </w:r>
          </w:p>
        </w:tc>
        <w:tc>
          <w:tcPr>
            <w:tcW w:type="dxa" w:w="4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Implemented; trained and evaluated on FD001, FD002 — results in Section 6.2</w:t>
            </w:r>
          </w:p>
        </w:tc>
      </w:tr>
      <w:tr>
        <w:tc>
          <w:tcPr>
            <w:tcW w:type="dxa" w:w="5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Conformal-calibrated dynamic threshold (Section 6.3)</w:t>
            </w:r>
          </w:p>
        </w:tc>
        <w:tc>
          <w:tcPr>
            <w:tcW w:type="dxa" w:w="4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Fully specified; module interface defined, numerical implementation pending</w:t>
            </w:r>
          </w:p>
        </w:tc>
      </w:tr>
      <w:tr>
        <w:tc>
          <w:tcPr>
            <w:tcW w:type="dxa" w:w="5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Per-sensor attribution (Section 6.4)</w:t>
            </w:r>
          </w:p>
        </w:tc>
        <w:tc>
          <w:tcPr>
            <w:tcW w:type="dxa" w:w="4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Fully specified; module interface defined, numerical implementation pending</w:t>
            </w:r>
          </w:p>
        </w:tc>
      </w:tr>
      <w:tr>
        <w:tc>
          <w:tcPr>
            <w:tcW w:type="dxa" w:w="5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Joint RUL regression head (Section 6.5)</w:t>
            </w:r>
          </w:p>
        </w:tc>
        <w:tc>
          <w:tcPr>
            <w:tcW w:type="dxa" w:w="4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Fully specified as stretch embodiment; not yet implemented</w:t>
            </w:r>
          </w:p>
        </w:tc>
      </w:tr>
      <w:tr>
        <w:tc>
          <w:tcPr>
            <w:tcW w:type="dxa" w:w="5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Deployment / dashboard demonstration (Section 6.6)</w:t>
            </w:r>
          </w:p>
        </w:tc>
        <w:tc>
          <w:tcPr>
            <w:tcW w:type="dxa" w:w="4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Dashboard scaffold present; end-to-end alert demonstration pending</w:t>
            </w:r>
          </w:p>
        </w:tc>
      </w:tr>
    </w:tbl>
    <w:p>
      <w:pPr>
        <w:pStyle w:val="Heading1"/>
        <w:spacing w:after="160" w:before="320"/>
      </w:pPr>
      <w:r>
        <w:rPr>
          <w:rFonts w:ascii="Calibri" w:cs="Calibri" w:eastAsia="Calibri" w:hAnsi="Calibri"/>
          <w:b/>
          <w:bCs/>
          <w:sz w:val="26"/>
          <w:szCs w:val="26"/>
        </w:rPr>
        <w:t xml:space="preserve">7. Claims (Drafting Skeleton)</w:t>
      </w:r>
    </w:p>
    <w:p>
      <w:pPr>
        <w:pBdr>
          <w:left w:val="single" w:color="BF8F00" w:sz="18"/>
        </w:pBdr>
        <w:shd w:fill="FFF2CC" w:val="clear"/>
        <w:spacing w:after="240" w:before="120"/>
      </w:pPr>
      <w:r>
        <w:rPr>
          <w:rFonts w:ascii="Calibri" w:cs="Calibri" w:eastAsia="Calibri" w:hAnsi="Calibri"/>
          <w:i/>
          <w:iCs/>
          <w:sz w:val="20"/>
          <w:szCs w:val="20"/>
        </w:rPr>
        <w:t xml:space="preserve">The following claim language is a drafting skeleton prepared by the student inventors for discussion with a patent agent / IP cell. It is not final claim language and must be reviewed, restructured, and verified against a formal prior-art search before filing.</w:t>
      </w:r>
    </w:p>
    <w:p>
      <w:pPr>
        <w:spacing w:after="140"/>
      </w:pPr>
      <w:r>
        <w:rPr>
          <w:rFonts w:ascii="Calibri" w:cs="Calibri" w:eastAsia="Calibri" w:hAnsi="Calibri"/>
          <w:b/>
          <w:bCs/>
          <w:sz w:val="22"/>
          <w:szCs w:val="22"/>
        </w:rPr>
        <w:t xml:space="preserve">Claim 1 (independent method claim):</w:t>
      </w:r>
    </w:p>
    <w:p>
      <w:pPr>
        <w:spacing w:after="160"/>
        <w:jc w:val="both"/>
      </w:pPr>
      <w:r>
        <w:rPr>
          <w:rFonts w:ascii="Calibri" w:cs="Calibri" w:eastAsia="Calibri" w:hAnsi="Calibri"/>
          <w:sz w:val="22"/>
          <w:szCs w:val="22"/>
        </w:rPr>
        <w:t xml:space="preserve">A computer-implemented method for early failure detection in a turbofan engine, comprising:</w:t>
      </w:r>
    </w:p>
    <w:p>
      <w:pPr>
        <w:pStyle w:val="ListParagraph"/>
        <w:numPr>
          <w:ilvl w:val="0"/>
          <w:numId w:val="3"/>
        </w:numPr>
        <w:spacing w:after="140"/>
        <w:jc w:val="both"/>
      </w:pPr>
      <w:r>
        <w:rPr>
          <w:rFonts w:ascii="Calibri" w:cs="Calibri" w:eastAsia="Calibri" w:hAnsi="Calibri"/>
          <w:sz w:val="22"/>
          <w:szCs w:val="22"/>
        </w:rPr>
        <w:t xml:space="preserve">receiving multivariate sensor data and operating-condition data for the engine over a plurality of operating cycles;</w:t>
      </w:r>
    </w:p>
    <w:p>
      <w:pPr>
        <w:pStyle w:val="ListParagraph"/>
        <w:numPr>
          <w:ilvl w:val="0"/>
          <w:numId w:val="3"/>
        </w:numPr>
        <w:spacing w:after="140"/>
        <w:jc w:val="both"/>
      </w:pPr>
      <w:r>
        <w:rPr>
          <w:rFonts w:ascii="Calibri" w:cs="Calibri" w:eastAsia="Calibri" w:hAnsi="Calibri"/>
          <w:sz w:val="22"/>
          <w:szCs w:val="22"/>
        </w:rPr>
        <w:t xml:space="preserve">generating a regime-embedding vector from the operating-condition data using a trained regime-embedding sub-network;</w:t>
      </w:r>
    </w:p>
    <w:p>
      <w:pPr>
        <w:pStyle w:val="ListParagraph"/>
        <w:numPr>
          <w:ilvl w:val="0"/>
          <w:numId w:val="3"/>
        </w:numPr>
        <w:spacing w:after="140"/>
        <w:jc w:val="both"/>
      </w:pPr>
      <w:r>
        <w:rPr>
          <w:rFonts w:ascii="Calibri" w:cs="Calibri" w:eastAsia="Calibri" w:hAnsi="Calibri"/>
          <w:sz w:val="22"/>
          <w:szCs w:val="22"/>
        </w:rPr>
        <w:t xml:space="preserve">conditioning the encoding and decoding operations of a trained autoencoder on the regime-embedding vector to produce a reconstruction of a window of the sensor data;</w:t>
      </w:r>
    </w:p>
    <w:p>
      <w:pPr>
        <w:pStyle w:val="ListParagraph"/>
        <w:numPr>
          <w:ilvl w:val="0"/>
          <w:numId w:val="3"/>
        </w:numPr>
        <w:spacing w:after="140"/>
        <w:jc w:val="both"/>
      </w:pPr>
      <w:r>
        <w:rPr>
          <w:rFonts w:ascii="Calibri" w:cs="Calibri" w:eastAsia="Calibri" w:hAnsi="Calibri"/>
          <w:sz w:val="22"/>
          <w:szCs w:val="22"/>
        </w:rPr>
        <w:t xml:space="preserve">computing a reconstruction-error signal from a difference between the window of sensor data and its reconstruction;</w:t>
      </w:r>
    </w:p>
    <w:p>
      <w:pPr>
        <w:pStyle w:val="ListParagraph"/>
        <w:numPr>
          <w:ilvl w:val="0"/>
          <w:numId w:val="3"/>
        </w:numPr>
        <w:spacing w:after="140"/>
        <w:jc w:val="both"/>
      </w:pPr>
      <w:r>
        <w:rPr>
          <w:rFonts w:ascii="Calibri" w:cs="Calibri" w:eastAsia="Calibri" w:hAnsi="Calibri"/>
          <w:sz w:val="22"/>
          <w:szCs w:val="22"/>
        </w:rPr>
        <w:t xml:space="preserve">computing a dynamic detection threshold for the reconstruction-error signal by applying conformal calibration, conditioned on the regime-embedding vector, to a held-out set of reconstruction-error scores obtained from healthy-cycle calibration data, such that the dynamic detection threshold provides a bounded false-alarm rate;</w:t>
      </w:r>
    </w:p>
    <w:p>
      <w:pPr>
        <w:pStyle w:val="ListParagraph"/>
        <w:numPr>
          <w:ilvl w:val="0"/>
          <w:numId w:val="3"/>
        </w:numPr>
        <w:spacing w:after="140"/>
        <w:jc w:val="both"/>
      </w:pPr>
      <w:r>
        <w:rPr>
          <w:rFonts w:ascii="Calibri" w:cs="Calibri" w:eastAsia="Calibri" w:hAnsi="Calibri"/>
          <w:sz w:val="22"/>
          <w:szCs w:val="22"/>
        </w:rPr>
        <w:t xml:space="preserve">decomposing the reconstruction-error signal into a plurality of per-sensor-channel contribution values and ranking the sensor channels according to their respective contribution values; and</w:t>
      </w:r>
    </w:p>
    <w:p>
      <w:pPr>
        <w:pStyle w:val="ListParagraph"/>
        <w:numPr>
          <w:ilvl w:val="0"/>
          <w:numId w:val="3"/>
        </w:numPr>
        <w:spacing w:after="140"/>
        <w:jc w:val="both"/>
      </w:pPr>
      <w:r>
        <w:rPr>
          <w:rFonts w:ascii="Calibri" w:cs="Calibri" w:eastAsia="Calibri" w:hAnsi="Calibri"/>
          <w:sz w:val="22"/>
          <w:szCs w:val="22"/>
        </w:rPr>
        <w:t xml:space="preserve">generating an early-failure alert, comprising the reconstruction-error signal, the dynamic detection threshold, and the ranked sensor-channel contribution values, in response to the reconstruction-error signal exceeding the dynamic detection threshold.</w:t>
      </w:r>
    </w:p>
    <w:p>
      <w:pPr>
        <w:spacing w:after="140" w:before="200"/>
      </w:pPr>
      <w:r>
        <w:rPr>
          <w:rFonts w:ascii="Calibri" w:cs="Calibri" w:eastAsia="Calibri" w:hAnsi="Calibri"/>
          <w:b/>
          <w:bCs/>
          <w:sz w:val="22"/>
          <w:szCs w:val="22"/>
        </w:rPr>
        <w:t xml:space="preserve">Dependent claims (illustrative):</w:t>
      </w:r>
    </w:p>
    <w:p>
      <w:pPr>
        <w:pStyle w:val="ListParagraph"/>
        <w:numPr>
          <w:ilvl w:val="0"/>
          <w:numId w:val="4"/>
        </w:numPr>
        <w:spacing w:after="140"/>
        <w:jc w:val="both"/>
      </w:pPr>
      <w:r>
        <w:rPr>
          <w:rFonts w:ascii="Calibri" w:cs="Calibri" w:eastAsia="Calibri" w:hAnsi="Calibri"/>
          <w:sz w:val="22"/>
          <w:szCs w:val="22"/>
        </w:rPr>
        <w:t xml:space="preserve">The method of claim 1, wherein conditioning the autoencoder comprises concatenating the regime-embedding vector with a sensor-window representation prior to an encoder bottleneck.</w:t>
      </w:r>
    </w:p>
    <w:p>
      <w:pPr>
        <w:pStyle w:val="ListParagraph"/>
        <w:numPr>
          <w:ilvl w:val="0"/>
          <w:numId w:val="4"/>
        </w:numPr>
        <w:spacing w:after="140"/>
        <w:jc w:val="both"/>
      </w:pPr>
      <w:r>
        <w:rPr>
          <w:rFonts w:ascii="Calibri" w:cs="Calibri" w:eastAsia="Calibri" w:hAnsi="Calibri"/>
          <w:sz w:val="22"/>
          <w:szCs w:val="22"/>
        </w:rPr>
        <w:t xml:space="preserve">The method of claim 1, wherein conditioning the autoencoder comprises applying a feature-wise linear modulation to an intermediate encoder representation, the modulation's scale and shift parameters being generated from the regime-embedding vector.</w:t>
      </w:r>
    </w:p>
    <w:p>
      <w:pPr>
        <w:pStyle w:val="ListParagraph"/>
        <w:numPr>
          <w:ilvl w:val="0"/>
          <w:numId w:val="4"/>
        </w:numPr>
        <w:spacing w:after="140"/>
        <w:jc w:val="both"/>
      </w:pPr>
      <w:r>
        <w:rPr>
          <w:rFonts w:ascii="Calibri" w:cs="Calibri" w:eastAsia="Calibri" w:hAnsi="Calibri"/>
          <w:sz w:val="22"/>
          <w:szCs w:val="22"/>
        </w:rPr>
        <w:t xml:space="preserve">The method of claim 1, wherein the conformal calibration derives a separate detection threshold for each of a plurality of discrete operating regimes, and wherein the regime-embedding vector or an associated discrete regime identifier selects the applicable threshold at inference time.</w:t>
      </w:r>
    </w:p>
    <w:p>
      <w:pPr>
        <w:pStyle w:val="ListParagraph"/>
        <w:numPr>
          <w:ilvl w:val="0"/>
          <w:numId w:val="4"/>
        </w:numPr>
        <w:spacing w:after="140"/>
        <w:jc w:val="both"/>
      </w:pPr>
      <w:r>
        <w:rPr>
          <w:rFonts w:ascii="Calibri" w:cs="Calibri" w:eastAsia="Calibri" w:hAnsi="Calibri"/>
          <w:sz w:val="22"/>
          <w:szCs w:val="22"/>
        </w:rPr>
        <w:t xml:space="preserve">The method of claim 1, wherein the bounded false-alarm rate is no greater than approximately 5% at a confidence level of approximately 95%.</w:t>
      </w:r>
    </w:p>
    <w:p>
      <w:pPr>
        <w:pStyle w:val="ListParagraph"/>
        <w:numPr>
          <w:ilvl w:val="0"/>
          <w:numId w:val="4"/>
        </w:numPr>
        <w:spacing w:after="140"/>
        <w:jc w:val="both"/>
      </w:pPr>
      <w:r>
        <w:rPr>
          <w:rFonts w:ascii="Calibri" w:cs="Calibri" w:eastAsia="Calibri" w:hAnsi="Calibri"/>
          <w:sz w:val="22"/>
          <w:szCs w:val="22"/>
        </w:rPr>
        <w:t xml:space="preserve">The method of claim 1, further comprising generating a remaining-useful-life estimate from a shared latent representation produced by the autoencoder's encoder, using a regression head trained jointly with the autoencoder under a loss that penalizes late remaining-useful-life predictions more heavily than early predictions.</w:t>
      </w:r>
    </w:p>
    <w:p>
      <w:pPr>
        <w:pStyle w:val="ListParagraph"/>
        <w:numPr>
          <w:ilvl w:val="0"/>
          <w:numId w:val="4"/>
        </w:numPr>
        <w:spacing w:after="140"/>
        <w:jc w:val="both"/>
      </w:pPr>
      <w:r>
        <w:rPr>
          <w:rFonts w:ascii="Calibri" w:cs="Calibri" w:eastAsia="Calibri" w:hAnsi="Calibri"/>
          <w:sz w:val="22"/>
          <w:szCs w:val="22"/>
        </w:rPr>
        <w:t xml:space="preserve">The method of claim 1, wherein the multivariate sensor data and operating-condition data originate from a NASA C-MAPSS turbofan degradation simulation dataset or from equivalent real-world turbofan engine telemetry.</w:t>
      </w:r>
    </w:p>
    <w:p>
      <w:pPr>
        <w:pStyle w:val="ListParagraph"/>
        <w:numPr>
          <w:ilvl w:val="0"/>
          <w:numId w:val="4"/>
        </w:numPr>
        <w:spacing w:after="140"/>
        <w:jc w:val="both"/>
      </w:pPr>
      <w:r>
        <w:rPr>
          <w:rFonts w:ascii="Calibri" w:cs="Calibri" w:eastAsia="Calibri" w:hAnsi="Calibri"/>
          <w:sz w:val="22"/>
          <w:szCs w:val="22"/>
        </w:rPr>
        <w:t xml:space="preserve">The method of claim 1, wherein the early-failure alert further comprises an engine identifier and a cycle index at which the alert was generated, and is transmitted to a health-monitoring dashboard or a maintenance-scheduling system.</w:t>
      </w:r>
    </w:p>
    <w:p>
      <w:pPr>
        <w:spacing w:after="140" w:before="200"/>
      </w:pPr>
      <w:r>
        <w:rPr>
          <w:rFonts w:ascii="Calibri" w:cs="Calibri" w:eastAsia="Calibri" w:hAnsi="Calibri"/>
          <w:b/>
          <w:bCs/>
          <w:sz w:val="22"/>
          <w:szCs w:val="22"/>
        </w:rPr>
        <w:t xml:space="preserve">Claim (system):</w:t>
      </w:r>
    </w:p>
    <w:p>
      <w:pPr>
        <w:spacing w:after="160"/>
        <w:jc w:val="both"/>
      </w:pPr>
      <w:r>
        <w:rPr>
          <w:rFonts w:ascii="Calibri" w:cs="Calibri" w:eastAsia="Calibri" w:hAnsi="Calibri"/>
          <w:sz w:val="22"/>
          <w:szCs w:val="22"/>
        </w:rPr>
        <w:t xml:space="preserve">A system for early failure detection in a turbofan engine, comprising one or more processors and a memory storing instructions that, when executed by the one or more processors, cause the system to perform the method of claim 1.</w:t>
      </w:r>
    </w:p>
    <w:p>
      <w:pPr>
        <w:pStyle w:val="Heading1"/>
        <w:spacing w:after="160" w:before="320"/>
      </w:pPr>
      <w:r>
        <w:rPr>
          <w:rFonts w:ascii="Calibri" w:cs="Calibri" w:eastAsia="Calibri" w:hAnsi="Calibri"/>
          <w:b/>
          <w:bCs/>
          <w:sz w:val="26"/>
          <w:szCs w:val="26"/>
        </w:rPr>
        <w:t xml:space="preserve">8. Abstract</w:t>
      </w:r>
    </w:p>
    <w:p>
      <w:pPr>
        <w:spacing w:after="160"/>
        <w:jc w:val="both"/>
      </w:pPr>
      <w:r>
        <w:rPr>
          <w:rFonts w:ascii="Calibri" w:cs="Calibri" w:eastAsia="Calibri" w:hAnsi="Calibri"/>
          <w:sz w:val="22"/>
          <w:szCs w:val="22"/>
        </w:rPr>
        <w:t xml:space="preserve">A method and system for early failure detection in turbofan engines conditions a deep autoencoder's encoding and decoding on a learned regime-embedding vector derived from the engine's operating settings, so that a single shared model generalizes across multiple operating regimes. Reconstruction error computed from the regime-conditioned autoencoder is compared against a dynamic detection threshold obtained by conformal calibration on held-out healthy-cycle data, conditioned on operating regime, giving the resulting alarm a distribution-free bound on its false-alarm rate. Upon detection, the reconstruction error is decomposed into ranked per-sensor-channel contributions, which are attached to the generated alert together with the engine identifier and cycle index, providing an explainable early-failure alert suitable for predictive-maintenance decision-making. An optional joint regression head estimates remaining useful life from the shared latent representation using an asymmetric, late-prediction-penalizing loss.</w:t>
      </w:r>
    </w:p>
    <w:p>
      <w:pPr>
        <w:pStyle w:val="Heading1"/>
        <w:spacing w:after="160" w:before="320"/>
      </w:pPr>
      <w:r>
        <w:rPr>
          <w:rFonts w:ascii="Calibri" w:cs="Calibri" w:eastAsia="Calibri" w:hAnsi="Calibri"/>
          <w:b/>
          <w:bCs/>
          <w:sz w:val="26"/>
          <w:szCs w:val="26"/>
        </w:rPr>
        <w:t xml:space="preserve">9. Recommended Next Steps Before Filing</w:t>
      </w:r>
    </w:p>
    <w:p>
      <w:pPr>
        <w:pStyle w:val="ListParagraph"/>
        <w:numPr>
          <w:ilvl w:val="0"/>
          <w:numId w:val="2"/>
        </w:numPr>
        <w:spacing w:after="100"/>
      </w:pPr>
      <w:r>
        <w:rPr>
          <w:rFonts w:ascii="Calibri" w:cs="Calibri" w:eastAsia="Calibri" w:hAnsi="Calibri"/>
          <w:sz w:val="22"/>
          <w:szCs w:val="22"/>
        </w:rPr>
        <w:t xml:space="preserve">Complete the numerical implementation of the conformal-calibration and sensor-attribution modules (Sections 6.3–6.4) and re-validate the reported figures with those components active, so the specification and the demonstrated system fully match.</w:t>
      </w:r>
    </w:p>
    <w:p>
      <w:pPr>
        <w:pStyle w:val="ListParagraph"/>
        <w:numPr>
          <w:ilvl w:val="0"/>
          <w:numId w:val="2"/>
        </w:numPr>
        <w:spacing w:after="100"/>
      </w:pPr>
      <w:r>
        <w:rPr>
          <w:rFonts w:ascii="Calibri" w:cs="Calibri" w:eastAsia="Calibri" w:hAnsi="Calibri"/>
          <w:sz w:val="22"/>
          <w:szCs w:val="22"/>
        </w:rPr>
        <w:t xml:space="preserve">Commission a formal patent search (Google Patents, Espacenet, and the relevant national patent office database) specifically for "turbofan" + "autoencoder" + "dynamic threshold" and "aircraft engine health monitoring" + "conformal calibration".</w:t>
      </w:r>
    </w:p>
    <w:p>
      <w:pPr>
        <w:pStyle w:val="ListParagraph"/>
        <w:numPr>
          <w:ilvl w:val="0"/>
          <w:numId w:val="2"/>
        </w:numPr>
        <w:spacing w:after="100"/>
      </w:pPr>
      <w:r>
        <w:rPr>
          <w:rFonts w:ascii="Calibri" w:cs="Calibri" w:eastAsia="Calibri" w:hAnsi="Calibri"/>
          <w:sz w:val="22"/>
          <w:szCs w:val="22"/>
        </w:rPr>
        <w:t xml:space="preserve">Contact VIT's IP/Innovation cell to initiate a provisional filing before any public disclosure (conference presentation, paper submission, or making this repository public).</w:t>
      </w:r>
    </w:p>
    <w:p>
      <w:pPr>
        <w:pStyle w:val="ListParagraph"/>
        <w:numPr>
          <w:ilvl w:val="0"/>
          <w:numId w:val="2"/>
        </w:numPr>
        <w:spacing w:after="100"/>
      </w:pPr>
      <w:r>
        <w:rPr>
          <w:rFonts w:ascii="Calibri" w:cs="Calibri" w:eastAsia="Calibri" w:hAnsi="Calibri"/>
          <w:sz w:val="22"/>
          <w:szCs w:val="22"/>
        </w:rPr>
        <w:t xml:space="preserve">Engage a registered patent agent to convert this technical draft into formal claim language compliant with Section 3(k) of the Indian Patents Act (which excludes a "mathematical method... per se" but permits a claim to a technical system producing a measurable real-world effect, such as a bounded false-alarm rate).</w:t>
      </w:r>
    </w:p>
    <w:p>
      <w:pPr>
        <w:pStyle w:val="ListParagraph"/>
        <w:numPr>
          <w:ilvl w:val="0"/>
          <w:numId w:val="2"/>
        </w:numPr>
        <w:spacing w:after="100"/>
      </w:pPr>
      <w:r>
        <w:rPr>
          <w:rFonts w:ascii="Calibri" w:cs="Calibri" w:eastAsia="Calibri" w:hAnsi="Calibri"/>
          <w:sz w:val="22"/>
          <w:szCs w:val="22"/>
        </w:rPr>
        <w:t xml:space="preserve">Retain this repository's dated commit history as supporting evidence of the invention timeline; do not rebase or squash history relevant to the novel components.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t xml:space="preserve">Page </w:t>
    </w:r>
    <w:r>
      <w:rPr>
        <w:rFonts w:ascii="Calibri" w:cs="Calibri" w:eastAsia="Calibri" w:hAnsi="Calibri"/>
        <w:sz w:val="16"/>
        <w:szCs w:val="16"/>
      </w:rPr>
      <w:fldChar w:fldCharType="begin"/>
      <w:instrText xml:space="preserve">PAGE</w:instrText>
      <w:fldChar w:fldCharType="separate"/>
      <w:fldChar w:fldCharType="end"/>
    </w:r>
    <w:r>
      <w:rPr>
        <w:rFonts w:ascii="Calibri" w:cs="Calibri" w:eastAsia="Calibri" w:hAnsi="Calibri"/>
        <w:sz w:val="16"/>
        <w:szCs w:val="16"/>
      </w:rPr>
      <w:t xml:space="preserve"> of </w:t>
    </w:r>
    <w:r>
      <w:rPr>
        <w:rFonts w:ascii="Calibri" w:cs="Calibri" w:eastAsia="Calibri" w:hAnsi="Calibri"/>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6"/>
        <w:szCs w:val="16"/>
      </w:rPr>
      <w:t xml:space="preserve">Draft — Internal / IP-cell review only — not for public disclosure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620" w:hanging="360"/>
      </w:pPr>
    </w:lvl>
  </w:abstractNum>
  <w:abstractNum w:abstractNumId="4" w15:restartNumberingAfterBreak="0">
    <w:multiLevelType w:val="hybridMultilevel"/>
    <w:lvl w:ilvl="0" w15:tentative="1">
      <w:start w:val="1"/>
      <w:numFmt w:val="decimal"/>
      <w:lvlText w:val="%1."/>
      <w:lvlJc w:val="left"/>
      <w:pPr>
        <w:ind w:left="6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Provisional Patent Specification</dc:title>
  <dc:creator>Project Team — Aryaman Ghaisas, Akriti Agarwal, Nethra Krishnan</dc:creator>
  <cp:lastModifiedBy>Un-named</cp:lastModifiedBy>
  <cp:revision>1</cp:revision>
  <dcterms:created xsi:type="dcterms:W3CDTF">2026-09-11T05:51:55.498Z</dcterms:created>
  <dcterms:modified xsi:type="dcterms:W3CDTF">2026-09-11T05:51:55.499Z</dcterms:modified>
</cp:coreProperties>
</file>

<file path=docProps/custom.xml><?xml version="1.0" encoding="utf-8"?>
<Properties xmlns="http://schemas.openxmlformats.org/officeDocument/2006/custom-properties" xmlns:vt="http://schemas.openxmlformats.org/officeDocument/2006/docPropsVTypes"/>
</file>