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CLARIFICATIONS &amp; FIXES ADDENDUM</w:t>
      </w:r>
    </w:p>
    <w:p>
      <w:pPr>
        <w:spacing w:after="120"/>
      </w:pPr>
      <w:r>
        <w:rPr>
          <w:i/>
          <w:iCs/>
        </w:rPr>
        <w:t xml:space="preserve">AI-Powered Intelligent Ticket Routing &amp; Resolution Agent — APICALYPSE</w:t>
      </w:r>
    </w:p>
    <w:p>
      <w:pPr>
        <w:spacing w:after="120"/>
      </w:pPr>
      <w:r>
        <w:rPr>
          <w:i/>
          <w:iCs/>
        </w:rPr>
        <w:t xml:space="preserve">This addendum resolves ambiguities identified in the original design document. It does not replace the source document; it supplements it. Each item is explicitly marked RESOLVED (a concrete default is proposed for your approval) or PROPOSED / PENDING (needs your confirmation before being treated as a requirement).</w:t>
      </w:r>
    </w:p>
    <w:p>
      <w:pPr>
        <w:pStyle w:val="Heading1"/>
        <w:spacing w:after="150" w:before="300"/>
      </w:pPr>
      <w:r>
        <w:t xml:space="preserve">1. Confidence Threshold Policy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RESOLVED (default proposed)</w:t>
      </w:r>
    </w:p>
    <w:p>
      <w:pPr>
        <w:spacing w:after="120"/>
      </w:pPr>
      <w:r>
        <w:t xml:space="preserve">The original document (Section 7.3–7.4) established a binary decision rule — high confidence proceeds automatically, low confidence escalates — but never defined the numeric cutoff. A single hard threshold risks two failure modes: false confidence near the boundary, and unnecessary escalation of near-miss cases. A three-tier model addresses this while staying consistent with the existing binary framing in 7.4.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</w:rPr>
              <w:t xml:space="preserve">Confidence Range</w:t>
            </w:r>
          </w:p>
        </w:tc>
        <w:tc>
          <w:tcPr>
            <w:tcW w:type="dxa" w:w="3800"/>
            <w:shd w:fill="D9E2F3" w:val="clear"/>
          </w:tcPr>
          <w:p>
            <w:r>
              <w:rPr>
                <w:b/>
                <w:bCs/>
              </w:rPr>
              <w:t xml:space="preserve">System Behavior</w:t>
            </w:r>
          </w:p>
        </w:tc>
      </w:tr>
      <w:tr>
        <w:tc>
          <w:tcPr>
            <w:tcW w:type="dxa" w:w="2600"/>
          </w:tcPr>
          <w:p>
            <w:r>
              <w:t xml:space="preserve">High</w:t>
            </w:r>
          </w:p>
        </w:tc>
        <w:tc>
          <w:tcPr>
            <w:tcW w:type="dxa" w:w="2600"/>
          </w:tcPr>
          <w:p>
            <w:r>
              <w:t xml:space="preserve">≥ 85%</w:t>
            </w:r>
          </w:p>
        </w:tc>
        <w:tc>
          <w:tcPr>
            <w:tcW w:type="dxa" w:w="3800"/>
          </w:tcPr>
          <w:p>
            <w:r>
              <w:t xml:space="preserve">Auto-proceed with AI recommendation</w:t>
            </w:r>
          </w:p>
        </w:tc>
      </w:tr>
      <w:tr>
        <w:tc>
          <w:tcPr>
            <w:tcW w:type="dxa" w:w="2600"/>
          </w:tcPr>
          <w:p>
            <w:r>
              <w:t xml:space="preserve">Medium</w:t>
            </w:r>
          </w:p>
        </w:tc>
        <w:tc>
          <w:tcPr>
            <w:tcW w:type="dxa" w:w="2600"/>
          </w:tcPr>
          <w:p>
            <w:r>
              <w:t xml:space="preserve">60% – 84%</w:t>
            </w:r>
          </w:p>
        </w:tc>
        <w:tc>
          <w:tcPr>
            <w:tcW w:type="dxa" w:w="3800"/>
          </w:tcPr>
          <w:p>
            <w:r>
              <w:t xml:space="preserve">AI recommendation shown, flagged for agent review before acceptance</w:t>
            </w:r>
          </w:p>
        </w:tc>
      </w:tr>
      <w:tr>
        <w:tc>
          <w:tcPr>
            <w:tcW w:type="dxa" w:w="2600"/>
          </w:tcPr>
          <w:p>
            <w:r>
              <w:t xml:space="preserve">Low</w:t>
            </w:r>
          </w:p>
        </w:tc>
        <w:tc>
          <w:tcPr>
            <w:tcW w:type="dxa" w:w="2600"/>
          </w:tcPr>
          <w:p>
            <w:r>
              <w:t xml:space="preserve">&lt; 60%</w:t>
            </w:r>
          </w:p>
        </w:tc>
        <w:tc>
          <w:tcPr>
            <w:tcW w:type="dxa" w:w="3800"/>
          </w:tcPr>
          <w:p>
            <w:r>
              <w:t xml:space="preserve">Escalated directly to human expert; no AI recommendation surfaced as final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These are starting defaults, not measured values — they should be tuned once real classification accuracy data is available (see Section 10, Confidence Reliability metric in the original doc).</w:t>
      </w:r>
    </w:p>
    <w:p>
      <w:pPr>
        <w:pStyle w:val="Heading1"/>
        <w:spacing w:after="150" w:before="300"/>
      </w:pPr>
      <w:r>
        <w:t xml:space="preserve">2. Supported Categories (Section 6.2)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C0392B"/>
        </w:rPr>
        <w:t xml:space="preserve">PROPOSED / PENDING CONFIRMATION</w:t>
      </w:r>
    </w:p>
    <w:p>
      <w:pPr>
        <w:spacing w:after="120"/>
      </w:pPr>
      <w:r>
        <w:t xml:space="preserve">The original document contains a header for this section but no enumerated category list survived extraction (likely a graphic or table). The list below is a reasonable IT-support default, illustrated with the routing behavior already described in the source (Section 6.4, VPN → Network → Network Support). This is NOT confirmed — replace with your actual category set if different.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Example Trigger</w:t>
            </w:r>
          </w:p>
        </w:tc>
        <w:tc>
          <w:tcPr>
            <w:tcW w:type="dxa" w:w="3400"/>
            <w:shd w:fill="D9E2F3" w:val="clear"/>
          </w:tcPr>
          <w:p>
            <w:r>
              <w:rPr>
                <w:b/>
                <w:bCs/>
              </w:rPr>
              <w:t xml:space="preserve">Routed Department</w:t>
            </w:r>
          </w:p>
        </w:tc>
      </w:tr>
      <w:tr>
        <w:tc>
          <w:tcPr>
            <w:tcW w:type="dxa" w:w="2200"/>
          </w:tcPr>
          <w:p>
            <w:r>
              <w:t xml:space="preserve">Network</w:t>
            </w:r>
          </w:p>
        </w:tc>
        <w:tc>
          <w:tcPr>
            <w:tcW w:type="dxa" w:w="3400"/>
          </w:tcPr>
          <w:p>
            <w:r>
              <w:t xml:space="preserve">VPN, connectivity, Wi-Fi</w:t>
            </w:r>
          </w:p>
        </w:tc>
        <w:tc>
          <w:tcPr>
            <w:tcW w:type="dxa" w:w="3400"/>
          </w:tcPr>
          <w:p>
            <w:r>
              <w:t xml:space="preserve">Network Support</w:t>
            </w:r>
          </w:p>
        </w:tc>
      </w:tr>
      <w:tr>
        <w:tc>
          <w:tcPr>
            <w:tcW w:type="dxa" w:w="2200"/>
          </w:tcPr>
          <w:p>
            <w:r>
              <w:t xml:space="preserve">Hardware</w:t>
            </w:r>
          </w:p>
        </w:tc>
        <w:tc>
          <w:tcPr>
            <w:tcW w:type="dxa" w:w="3400"/>
          </w:tcPr>
          <w:p>
            <w:r>
              <w:t xml:space="preserve">Laptop, peripherals, device failure</w:t>
            </w:r>
          </w:p>
        </w:tc>
        <w:tc>
          <w:tcPr>
            <w:tcW w:type="dxa" w:w="3400"/>
          </w:tcPr>
          <w:p>
            <w:r>
              <w:t xml:space="preserve">Hardware/Desktop Support</w:t>
            </w:r>
          </w:p>
        </w:tc>
      </w:tr>
      <w:tr>
        <w:tc>
          <w:tcPr>
            <w:tcW w:type="dxa" w:w="2200"/>
          </w:tcPr>
          <w:p>
            <w:r>
              <w:t xml:space="preserve">Software</w:t>
            </w:r>
          </w:p>
        </w:tc>
        <w:tc>
          <w:tcPr>
            <w:tcW w:type="dxa" w:w="3400"/>
          </w:tcPr>
          <w:p>
            <w:r>
              <w:t xml:space="preserve">App crashes, installation, licensing</w:t>
            </w:r>
          </w:p>
        </w:tc>
        <w:tc>
          <w:tcPr>
            <w:tcW w:type="dxa" w:w="3400"/>
          </w:tcPr>
          <w:p>
            <w:r>
              <w:t xml:space="preserve">Application Support</w:t>
            </w:r>
          </w:p>
        </w:tc>
      </w:tr>
      <w:tr>
        <w:tc>
          <w:tcPr>
            <w:tcW w:type="dxa" w:w="2200"/>
          </w:tcPr>
          <w:p>
            <w:r>
              <w:t xml:space="preserve">Access / Account</w:t>
            </w:r>
          </w:p>
        </w:tc>
        <w:tc>
          <w:tcPr>
            <w:tcW w:type="dxa" w:w="3400"/>
          </w:tcPr>
          <w:p>
            <w:r>
              <w:t xml:space="preserve">Password reset, permissions, login</w:t>
            </w:r>
          </w:p>
        </w:tc>
        <w:tc>
          <w:tcPr>
            <w:tcW w:type="dxa" w:w="3400"/>
          </w:tcPr>
          <w:p>
            <w:r>
              <w:t xml:space="preserve">Identity &amp; Access Management</w:t>
            </w:r>
          </w:p>
        </w:tc>
      </w:tr>
      <w:tr>
        <w:tc>
          <w:tcPr>
            <w:tcW w:type="dxa" w:w="2200"/>
          </w:tcPr>
          <w:p>
            <w:r>
              <w:t xml:space="preserve">Email</w:t>
            </w:r>
          </w:p>
        </w:tc>
        <w:tc>
          <w:tcPr>
            <w:tcW w:type="dxa" w:w="3400"/>
          </w:tcPr>
          <w:p>
            <w:r>
              <w:t xml:space="preserve">Mail delivery, mailbox issues</w:t>
            </w:r>
          </w:p>
        </w:tc>
        <w:tc>
          <w:tcPr>
            <w:tcW w:type="dxa" w:w="3400"/>
          </w:tcPr>
          <w:p>
            <w:r>
              <w:t xml:space="preserve">Messaging Support</w:t>
            </w:r>
          </w:p>
        </w:tc>
      </w:tr>
      <w:tr>
        <w:tc>
          <w:tcPr>
            <w:tcW w:type="dxa" w:w="2200"/>
          </w:tcPr>
          <w:p>
            <w:r>
              <w:t xml:space="preserve">Security</w:t>
            </w:r>
          </w:p>
        </w:tc>
        <w:tc>
          <w:tcPr>
            <w:tcW w:type="dxa" w:w="3400"/>
          </w:tcPr>
          <w:p>
            <w:r>
              <w:t xml:space="preserve">Suspicious activity, phishing</w:t>
            </w:r>
          </w:p>
        </w:tc>
        <w:tc>
          <w:tcPr>
            <w:tcW w:type="dxa" w:w="3400"/>
          </w:tcPr>
          <w:p>
            <w:r>
              <w:t xml:space="preserve">Security Operations</w:t>
            </w:r>
          </w:p>
        </w:tc>
      </w:tr>
    </w:tbl>
    <w:p>
      <w:pPr>
        <w:pStyle w:val="Heading1"/>
        <w:spacing w:after="150" w:before="300"/>
      </w:pPr>
      <w:r>
        <w:t xml:space="preserve">3. Knowledge Feedback Loop (Section 7.5)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C0392B"/>
        </w:rPr>
        <w:t xml:space="preserve">PROPOSED / PENDING CONFIRMATION</w:t>
      </w:r>
    </w:p>
    <w:p>
      <w:pPr>
        <w:spacing w:after="120"/>
      </w:pPr>
      <w:r>
        <w:t xml:space="preserve">The source text for this section reads, verbatim, as a reviewer's suggestion embedded in the document (“this is the one new concept I'd definitely add…”) rather than a requirement stated by the team. It is being treated here as OUT OF CONFIRMED SCOPE until you confirm otherwise. If confirmed, the minimal mechanism would be: on ticket resolution, the resolved ticket (issue text + accepted resolution) is embedded and inserted into the same vector store used for RAG retrieval, making it eligible for retrieval by future tickets.</w:t>
      </w:r>
    </w:p>
    <w:p>
      <w:pPr>
        <w:pStyle w:val="Heading1"/>
        <w:spacing w:after="150" w:before="300"/>
      </w:pPr>
      <w:r>
        <w:t xml:space="preserve">4. Recurring Issue Detection (Step 9)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C0392B"/>
        </w:rPr>
        <w:t xml:space="preserve">PROPOSED / PENDING CONFIRMATION</w:t>
      </w:r>
    </w:p>
    <w:p>
      <w:pPr>
        <w:spacing w:after="120"/>
      </w:pPr>
      <w:r>
        <w:t xml:space="preserve">This is one of the eight required capabilities but has the least specification in the source — one sentence in the workflow narrative, and no entry in the architecture table (Section 4) or tech stack (Section 8). A minimal, RAG-reuse implementation is proposed below so it doesn't require new infrastructure: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Definition of “recurring”: N or more tickets in the same category retrieve each other as top-K RAG matches (cosine similarity above a set threshold) within a rolling time window (e.g., 30 days).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Detection trigger: runs after Step 5 (Historical Knowledge Retrieval) using the same similarity scores already computed — no separate model needed.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action on detection: flag the ticket cluster in the agent dashboard (Section 9.2) as a “recurring issue candidate”; does not auto-escalate or auto-resolve.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question for you: should recurring-issue flags feed Section 12's “Automatic Knowledge Base Creation” (future scope), or stay a dashboard-only signal for now? Recommend the latter for an MVP.</w:t>
      </w:r>
    </w:p>
    <w:p>
      <w:pPr>
        <w:pStyle w:val="Heading1"/>
        <w:spacing w:after="150" w:before="300"/>
      </w:pPr>
      <w:r>
        <w:t xml:space="preserve">5. Tech Stack — Concrete Choices for Implementation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C0392B"/>
        </w:rPr>
        <w:t xml:space="preserve">PROPOSED (needed to move from design to code)</w:t>
      </w:r>
    </w:p>
    <w:p>
      <w:pPr>
        <w:spacing w:after="120"/>
      </w:pPr>
      <w:r>
        <w:t xml:space="preserve">Section 8.1 names technology categories, not specific tools. Proposed concrete choices, prioritizing minimal dependencies per your stated preference: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Embedding / NLP: sentence-transformers (all-MiniLM-L6-v2) — small, local, no external API 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Vector store: FAISS (in-process, no server) for MVP; swappable for Chroma/Pinecone later if scale requires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Classification: scikit-learn (logistic regression over embeddings) for MVP — transparent, fast to train/explain; upgrade path to a fine-tuned model later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LLM for resolution generation: pluggable interface (single function boundary) so the provider is swappable; not hardcoded to one vendor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Interface: Streamlit, as specified in the original document</w:t>
      </w:r>
    </w:p>
    <w:p>
      <w:pPr>
        <w:pStyle w:val="Heading1"/>
        <w:spacing w:after="150" w:before="300"/>
      </w:pPr>
      <w:r>
        <w:t xml:space="preserve">6. Confirmed: No Existing Code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b/>
          <w:bCs/>
          <w:color w:val="2E7D32"/>
        </w:rPr>
        <w:t xml:space="preserve">CONFIRMED</w:t>
      </w:r>
    </w:p>
    <w:p>
      <w:pPr>
        <w:spacing w:after="120"/>
      </w:pPr>
      <w:r>
        <w:t xml:space="preserve">The uploaded material is a design document only. The accompanying code skeleton is being created fresh, not modifying prior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2026-08-27T18:13:14.024Z</dcterms:created>
  <dcterms:modified xsi:type="dcterms:W3CDTF">2026-08-27T18:13:14.041Z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