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4CC08" w14:textId="77777777" w:rsidR="000C3A3B" w:rsidRPr="000C3A3B" w:rsidRDefault="000C3A3B" w:rsidP="000C3A3B">
      <w:pPr>
        <w:rPr>
          <w:color w:val="EE0000"/>
        </w:rPr>
      </w:pPr>
      <w:r w:rsidRPr="000C3A3B">
        <w:rPr>
          <w:rFonts w:ascii="Segoe UI Emoji" w:hAnsi="Segoe UI Emoji" w:cs="Segoe UI Emoji"/>
          <w:color w:val="EE0000"/>
        </w:rPr>
        <w:t>✅ Audit report generated via Policy RAG Bot</w:t>
      </w:r>
    </w:p>
    <w:p w14:paraId="4CF524E8" w14:textId="0AC55F47" w:rsidR="000C3A3B" w:rsidRPr="000C3A3B" w:rsidRDefault="000C3A3B" w:rsidP="000C3A3B">
      <w:pPr>
        <w:numPr>
          <w:ilvl w:val="0"/>
          <w:numId w:val="1"/>
        </w:numPr>
      </w:pPr>
      <w:r w:rsidRPr="000C3A3B">
        <w:rPr>
          <w:b/>
          <w:bCs/>
        </w:rPr>
        <w:t>Direct Answer</w:t>
      </w:r>
      <w:r w:rsidRPr="000C3A3B">
        <w:t> A review of the flagged high-risk vendor payments indicates several critical issues primarily related to payment timeliness, related party transactions, and overall high anomaly scores. Key findings include:</w:t>
      </w:r>
    </w:p>
    <w:p w14:paraId="7395B005" w14:textId="77777777" w:rsidR="000C3A3B" w:rsidRPr="000C3A3B" w:rsidRDefault="000C3A3B" w:rsidP="000C3A3B">
      <w:pPr>
        <w:numPr>
          <w:ilvl w:val="1"/>
          <w:numId w:val="1"/>
        </w:numPr>
      </w:pPr>
      <w:r w:rsidRPr="000C3A3B">
        <w:rPr>
          <w:b/>
          <w:bCs/>
        </w:rPr>
        <w:t>Overdue Payments:</w:t>
      </w:r>
      <w:r w:rsidRPr="000C3A3B">
        <w:t> Four vendors (VENDOR_030, VENDOR_023, VENDOR_004, VENDOR_042) have payments significantly overdue, ranging from 45 to 180 days beyond their stipulated credit terms.</w:t>
      </w:r>
    </w:p>
    <w:p w14:paraId="508EA48E" w14:textId="77777777" w:rsidR="000C3A3B" w:rsidRPr="000C3A3B" w:rsidRDefault="000C3A3B" w:rsidP="000C3A3B">
      <w:pPr>
        <w:numPr>
          <w:ilvl w:val="1"/>
          <w:numId w:val="1"/>
        </w:numPr>
      </w:pPr>
      <w:r w:rsidRPr="000C3A3B">
        <w:rPr>
          <w:b/>
          <w:bCs/>
        </w:rPr>
        <w:t>Related Party Transactions:</w:t>
      </w:r>
      <w:r w:rsidRPr="000C3A3B">
        <w:t> Two vendors (VENDOR_047, VENDOR_004) are flagged as related parties, requiring enhanced scrutiny due to inherent conflict of interest risks.</w:t>
      </w:r>
    </w:p>
    <w:p w14:paraId="0B4BB56E" w14:textId="77777777" w:rsidR="000C3A3B" w:rsidRPr="000C3A3B" w:rsidRDefault="000C3A3B" w:rsidP="000C3A3B">
      <w:pPr>
        <w:numPr>
          <w:ilvl w:val="1"/>
          <w:numId w:val="1"/>
        </w:numPr>
      </w:pPr>
      <w:r w:rsidRPr="000C3A3B">
        <w:rPr>
          <w:b/>
          <w:bCs/>
        </w:rPr>
        <w:t>High Anomaly Scores:</w:t>
      </w:r>
      <w:r w:rsidRPr="000C3A3B">
        <w:t xml:space="preserve"> All flagged payments exhibit high anomaly probabilities (ranging from 0.81 to 1.0) and </w:t>
      </w:r>
      <w:proofErr w:type="gramStart"/>
      <w:r w:rsidRPr="000C3A3B">
        <w:t>high risk</w:t>
      </w:r>
      <w:proofErr w:type="gramEnd"/>
      <w:r w:rsidRPr="000C3A3B">
        <w:t xml:space="preserve"> scores (ranging from 0.81 to 0.99), indicating unusual patterns or deviations from expected norms, even for payments that are not yet overdue or from non-related parties. The payments range from INR 6.3 Million to INR 25.2 Million.</w:t>
      </w:r>
    </w:p>
    <w:p w14:paraId="727BE844" w14:textId="77777777" w:rsidR="000C3A3B" w:rsidRPr="000C3A3B" w:rsidRDefault="000C3A3B" w:rsidP="000C3A3B">
      <w:pPr>
        <w:numPr>
          <w:ilvl w:val="0"/>
          <w:numId w:val="1"/>
        </w:numPr>
      </w:pPr>
      <w:r w:rsidRPr="000C3A3B">
        <w:rPr>
          <w:b/>
          <w:bCs/>
        </w:rPr>
        <w:t>Root Cause Analysis</w:t>
      </w:r>
    </w:p>
    <w:p w14:paraId="168A7875" w14:textId="77777777" w:rsidR="000C3A3B" w:rsidRPr="000C3A3B" w:rsidRDefault="000C3A3B" w:rsidP="000C3A3B">
      <w:pPr>
        <w:numPr>
          <w:ilvl w:val="1"/>
          <w:numId w:val="1"/>
        </w:numPr>
      </w:pPr>
      <w:r w:rsidRPr="000C3A3B">
        <w:rPr>
          <w:b/>
          <w:bCs/>
        </w:rPr>
        <w:t>Overdue Payments:</w:t>
      </w:r>
      <w:r w:rsidRPr="000C3A3B">
        <w:t> The primary root cause for overdue payments appears to be a failure to adhere to the agreed-upon credit terms, indicating potential breakdowns in payment processing, invoice reconciliation, or cash flow management.</w:t>
      </w:r>
    </w:p>
    <w:p w14:paraId="593BEECE" w14:textId="77777777" w:rsidR="000C3A3B" w:rsidRPr="000C3A3B" w:rsidRDefault="000C3A3B" w:rsidP="000C3A3B">
      <w:pPr>
        <w:numPr>
          <w:ilvl w:val="1"/>
          <w:numId w:val="1"/>
        </w:numPr>
      </w:pPr>
      <w:r w:rsidRPr="000C3A3B">
        <w:rPr>
          <w:b/>
          <w:bCs/>
        </w:rPr>
        <w:t>Related Party Transactions:</w:t>
      </w:r>
      <w:r w:rsidRPr="000C3A3B">
        <w:t> The existence of related party transactions suggests a need for robust governance and disclosure mechanisms to ensure arm's length dealings and prevent potential conflicts of interest or preferential treatment.</w:t>
      </w:r>
    </w:p>
    <w:p w14:paraId="6B45278E" w14:textId="77777777" w:rsidR="000C3A3B" w:rsidRPr="000C3A3B" w:rsidRDefault="000C3A3B" w:rsidP="000C3A3B">
      <w:pPr>
        <w:numPr>
          <w:ilvl w:val="1"/>
          <w:numId w:val="1"/>
        </w:numPr>
      </w:pPr>
      <w:r w:rsidRPr="000C3A3B">
        <w:rPr>
          <w:b/>
          <w:bCs/>
        </w:rPr>
        <w:t>High Anomaly Scores:</w:t>
      </w:r>
      <w:r w:rsidRPr="000C3A3B">
        <w:t> For payments not explicitly overdue or related party, the high anomaly scores suggest underlying systemic issues or unusual transaction characteristics (e.g., unusually high amounts, infrequent vendor usage, unusual timing) that warrant deeper investigation. Without specific policy thresholds for financial limits or category-specific rules in the provided documents, the exact root cause of these anomalies cannot be definitively determined from the given context.</w:t>
      </w:r>
    </w:p>
    <w:p w14:paraId="570B60CE" w14:textId="77777777" w:rsidR="000C3A3B" w:rsidRPr="000C3A3B" w:rsidRDefault="000C3A3B" w:rsidP="000C3A3B">
      <w:pPr>
        <w:numPr>
          <w:ilvl w:val="0"/>
          <w:numId w:val="1"/>
        </w:numPr>
      </w:pPr>
      <w:r w:rsidRPr="000C3A3B">
        <w:rPr>
          <w:b/>
          <w:bCs/>
        </w:rPr>
        <w:t>Risk/Compliance Implication</w:t>
      </w:r>
    </w:p>
    <w:p w14:paraId="6A8DA02A" w14:textId="77777777" w:rsidR="000C3A3B" w:rsidRPr="000C3A3B" w:rsidRDefault="000C3A3B" w:rsidP="000C3A3B">
      <w:pPr>
        <w:numPr>
          <w:ilvl w:val="1"/>
          <w:numId w:val="1"/>
        </w:numPr>
      </w:pPr>
      <w:r w:rsidRPr="000C3A3B">
        <w:rPr>
          <w:b/>
          <w:bCs/>
        </w:rPr>
        <w:t>Financial Risk:</w:t>
      </w:r>
      <w:r w:rsidRPr="000C3A3B">
        <w:t> Overdue payments can lead to strained vendor relationships, potential late payment penalties, impact on credit ratings, and cash flow management challenges for Emami Agrotech Limited.</w:t>
      </w:r>
    </w:p>
    <w:p w14:paraId="56466996" w14:textId="77777777" w:rsidR="000C3A3B" w:rsidRPr="000C3A3B" w:rsidRDefault="000C3A3B" w:rsidP="000C3A3B">
      <w:pPr>
        <w:numPr>
          <w:ilvl w:val="1"/>
          <w:numId w:val="1"/>
        </w:numPr>
      </w:pPr>
      <w:r w:rsidRPr="000C3A3B">
        <w:rPr>
          <w:b/>
          <w:bCs/>
        </w:rPr>
        <w:t>Reputational Risk:</w:t>
      </w:r>
      <w:r w:rsidRPr="000C3A3B">
        <w:t> Persistent overdue payments or poorly managed related party transactions can damage the company's reputation and trust with stakeholders.</w:t>
      </w:r>
    </w:p>
    <w:p w14:paraId="664D82C5" w14:textId="77777777" w:rsidR="000C3A3B" w:rsidRPr="000C3A3B" w:rsidRDefault="000C3A3B" w:rsidP="000C3A3B">
      <w:pPr>
        <w:numPr>
          <w:ilvl w:val="1"/>
          <w:numId w:val="1"/>
        </w:numPr>
      </w:pPr>
      <w:r w:rsidRPr="000C3A3B">
        <w:rPr>
          <w:b/>
          <w:bCs/>
        </w:rPr>
        <w:t>Compliance Risk:</w:t>
      </w:r>
      <w:r w:rsidRPr="000C3A3B">
        <w:t> Related party transactions, if not properly disclosed and approved, pose significant governance and regulatory compliance risks. Lack of adherence to payment terms can also lead to contractual disputes.</w:t>
      </w:r>
    </w:p>
    <w:p w14:paraId="469EB341" w14:textId="77777777" w:rsidR="000C3A3B" w:rsidRPr="000C3A3B" w:rsidRDefault="000C3A3B" w:rsidP="000C3A3B">
      <w:pPr>
        <w:numPr>
          <w:ilvl w:val="1"/>
          <w:numId w:val="1"/>
        </w:numPr>
      </w:pPr>
      <w:r w:rsidRPr="000C3A3B">
        <w:rPr>
          <w:b/>
          <w:bCs/>
        </w:rPr>
        <w:lastRenderedPageBreak/>
        <w:t>Operational Risk:</w:t>
      </w:r>
      <w:r w:rsidRPr="000C3A3B">
        <w:t> High anomaly scores signal potential control weaknesses, process inefficiencies, or even fraudulent activities that could result in financial loss or operational disruption if not addressed.</w:t>
      </w:r>
    </w:p>
    <w:p w14:paraId="514FAFD6" w14:textId="77777777" w:rsidR="000C3A3B" w:rsidRPr="000C3A3B" w:rsidRDefault="000C3A3B" w:rsidP="000C3A3B">
      <w:pPr>
        <w:numPr>
          <w:ilvl w:val="0"/>
          <w:numId w:val="1"/>
        </w:numPr>
      </w:pPr>
      <w:r w:rsidRPr="000C3A3B">
        <w:rPr>
          <w:b/>
          <w:bCs/>
        </w:rPr>
        <w:t>Policy/Contract Reference(s)</w:t>
      </w:r>
    </w:p>
    <w:p w14:paraId="79197BCE" w14:textId="77777777" w:rsidR="000C3A3B" w:rsidRPr="000C3A3B" w:rsidRDefault="000C3A3B" w:rsidP="000C3A3B">
      <w:pPr>
        <w:numPr>
          <w:ilvl w:val="1"/>
          <w:numId w:val="1"/>
        </w:numPr>
      </w:pPr>
      <w:r w:rsidRPr="000C3A3B">
        <w:t>The provided context includes specific payment terms for Atlas Copco (India) Limited (Net due dates vary between 30 to 60 days) and Allied Pumps (Net due upon documentation). However, the flagged vendors (e.g., VENDOR_030, VENDOR_023, VENDOR_004, VENDOR_042, VENDOR_047) are generic and do not match the specific vendors mentioned in the provided contract notes. Therefore, no direct clause violations from the provided documents can be cited for these specific flagged generic vendors. The provided documents do not contain a general vendor payment policy, related party transaction policy, or specific financial limits applicable to generic "VENDOR_XXX" categories.</w:t>
      </w:r>
    </w:p>
    <w:p w14:paraId="61AF9096" w14:textId="77777777" w:rsidR="000C3A3B" w:rsidRPr="000C3A3B" w:rsidRDefault="000C3A3B" w:rsidP="000C3A3B">
      <w:pPr>
        <w:numPr>
          <w:ilvl w:val="0"/>
          <w:numId w:val="1"/>
        </w:numPr>
      </w:pPr>
      <w:r w:rsidRPr="000C3A3B">
        <w:rPr>
          <w:b/>
          <w:bCs/>
        </w:rPr>
        <w:t>Recommended Next Audit Step</w:t>
      </w:r>
    </w:p>
    <w:p w14:paraId="274AA2FC" w14:textId="77777777" w:rsidR="000C3A3B" w:rsidRPr="000C3A3B" w:rsidRDefault="000C3A3B" w:rsidP="000C3A3B">
      <w:pPr>
        <w:numPr>
          <w:ilvl w:val="1"/>
          <w:numId w:val="1"/>
        </w:numPr>
      </w:pPr>
      <w:r w:rsidRPr="000C3A3B">
        <w:rPr>
          <w:b/>
          <w:bCs/>
        </w:rPr>
        <w:t>Investigate Overdue Payments:</w:t>
      </w:r>
      <w:r w:rsidRPr="000C3A3B">
        <w:t> For VENDOR_030, VENDOR_023, VENDOR_004, and VENDOR_042, review individual invoices, Goods Receipt Notes (GRNs), and payment approval workflows to identify the exact reasons for delays and responsibility.</w:t>
      </w:r>
    </w:p>
    <w:p w14:paraId="755B64E0" w14:textId="77777777" w:rsidR="000C3A3B" w:rsidRPr="000C3A3B" w:rsidRDefault="000C3A3B" w:rsidP="000C3A3B">
      <w:pPr>
        <w:numPr>
          <w:ilvl w:val="1"/>
          <w:numId w:val="1"/>
        </w:numPr>
      </w:pPr>
      <w:r w:rsidRPr="000C3A3B">
        <w:rPr>
          <w:b/>
          <w:bCs/>
        </w:rPr>
        <w:t>Scrutinize Related Party Transactions:</w:t>
      </w:r>
      <w:r w:rsidRPr="000C3A3B">
        <w:t> For VENDOR_047 and VENDOR_004, verify related party declarations, review transaction terms against market rates, and confirm adherence to related party transaction policies and approval processes (if such policies exist within Emami Agrotech Limited, beyond the provided documents).</w:t>
      </w:r>
    </w:p>
    <w:p w14:paraId="4E39E294" w14:textId="77777777" w:rsidR="000C3A3B" w:rsidRPr="000C3A3B" w:rsidRDefault="000C3A3B" w:rsidP="000C3A3B">
      <w:pPr>
        <w:numPr>
          <w:ilvl w:val="1"/>
          <w:numId w:val="1"/>
        </w:numPr>
      </w:pPr>
      <w:r w:rsidRPr="000C3A3B">
        <w:rPr>
          <w:b/>
          <w:bCs/>
        </w:rPr>
        <w:t>Deep Dive on High Anomaly Payments:</w:t>
      </w:r>
      <w:r w:rsidRPr="000C3A3B">
        <w:t> For all flagged payments, especially those not explicitly overdue or related party (VENDOR_008, VENDOR_037, VENDOR_002, VENDOR_044), conduct a detailed transaction review including purchase order details, invoice verification, service/goods receipt confirmation, and approval documentation to understand the nature of the anomaly.</w:t>
      </w:r>
    </w:p>
    <w:p w14:paraId="1DB635B0" w14:textId="77777777" w:rsidR="000C3A3B" w:rsidRPr="000C3A3B" w:rsidRDefault="000C3A3B" w:rsidP="000C3A3B">
      <w:pPr>
        <w:numPr>
          <w:ilvl w:val="1"/>
          <w:numId w:val="1"/>
        </w:numPr>
      </w:pPr>
      <w:r w:rsidRPr="000C3A3B">
        <w:rPr>
          <w:b/>
          <w:bCs/>
        </w:rPr>
        <w:t>Review Vendor Master Data:</w:t>
      </w:r>
      <w:r w:rsidRPr="000C3A3B">
        <w:t> Verify credit terms, bank details, and any special conditions for all flagged vendors against approved vendor master data.</w:t>
      </w:r>
    </w:p>
    <w:p w14:paraId="72366652" w14:textId="77777777" w:rsidR="000C3A3B" w:rsidRPr="000C3A3B" w:rsidRDefault="000C3A3B" w:rsidP="000C3A3B">
      <w:pPr>
        <w:numPr>
          <w:ilvl w:val="1"/>
          <w:numId w:val="1"/>
        </w:numPr>
      </w:pPr>
      <w:r w:rsidRPr="000C3A3B">
        <w:rPr>
          <w:b/>
          <w:bCs/>
        </w:rPr>
        <w:t>Assess Payment Process Controls:</w:t>
      </w:r>
      <w:r w:rsidRPr="000C3A3B">
        <w:t> Evaluate the effectiveness of internal controls governing invoice processing, payment scheduling, and approval to prevent future overdue payments.</w:t>
      </w:r>
    </w:p>
    <w:p w14:paraId="2C003946" w14:textId="77777777" w:rsidR="000C3A3B" w:rsidRPr="000C3A3B" w:rsidRDefault="000C3A3B" w:rsidP="000C3A3B">
      <w:r w:rsidRPr="000C3A3B">
        <w:rPr>
          <w:rFonts w:ascii="Segoe UI Emoji" w:hAnsi="Segoe UI Emoji" w:cs="Segoe UI Emoji"/>
        </w:rPr>
        <w:t>📚</w:t>
      </w:r>
      <w:r w:rsidRPr="000C3A3B">
        <w:t xml:space="preserve"> Sources &amp; References</w:t>
      </w:r>
    </w:p>
    <w:p w14:paraId="1FA1F20C" w14:textId="77777777" w:rsidR="000C3A3B" w:rsidRPr="000C3A3B" w:rsidRDefault="000C3A3B" w:rsidP="000C3A3B">
      <w:pPr>
        <w:numPr>
          <w:ilvl w:val="0"/>
          <w:numId w:val="2"/>
        </w:numPr>
      </w:pPr>
      <w:r w:rsidRPr="000C3A3B">
        <w:t>VENDOR CONTRACT NOTE: #2026-MSL-001 (for MANGALORE SEZ LIMITED)</w:t>
      </w:r>
    </w:p>
    <w:p w14:paraId="22CF7201" w14:textId="77777777" w:rsidR="000C3A3B" w:rsidRPr="000C3A3B" w:rsidRDefault="000C3A3B" w:rsidP="000C3A3B">
      <w:pPr>
        <w:numPr>
          <w:ilvl w:val="0"/>
          <w:numId w:val="2"/>
        </w:numPr>
      </w:pPr>
      <w:r w:rsidRPr="000C3A3B">
        <w:t>Atlas Copco (India) Limited Vendor Contract Note</w:t>
      </w:r>
    </w:p>
    <w:p w14:paraId="0B555A52" w14:textId="77777777" w:rsidR="000C3A3B" w:rsidRPr="000C3A3B" w:rsidRDefault="000C3A3B" w:rsidP="000C3A3B">
      <w:pPr>
        <w:numPr>
          <w:ilvl w:val="0"/>
          <w:numId w:val="2"/>
        </w:numPr>
      </w:pPr>
      <w:r w:rsidRPr="000C3A3B">
        <w:t>Allied Pumps Vendor Contract Note</w:t>
      </w:r>
    </w:p>
    <w:p w14:paraId="6476B9FA" w14:textId="77777777" w:rsidR="000C3A3B" w:rsidRPr="000C3A3B" w:rsidRDefault="000C3A3B" w:rsidP="000C3A3B">
      <w:pPr>
        <w:numPr>
          <w:ilvl w:val="0"/>
          <w:numId w:val="2"/>
        </w:numPr>
      </w:pPr>
      <w:r w:rsidRPr="000C3A3B">
        <w:t xml:space="preserve">EMAMI AGROTECH LIMITED DOMESTIC TRAVEL POLICY – </w:t>
      </w:r>
      <w:proofErr w:type="gramStart"/>
      <w:r w:rsidRPr="000C3A3B">
        <w:t>NON SALES</w:t>
      </w:r>
      <w:proofErr w:type="gramEnd"/>
    </w:p>
    <w:p w14:paraId="1061940D" w14:textId="77777777" w:rsidR="000C3A3B" w:rsidRDefault="000C3A3B" w:rsidP="000C3A3B"/>
    <w:p w14:paraId="718F79CE" w14:textId="77777777" w:rsidR="000C3A3B" w:rsidRDefault="000C3A3B" w:rsidP="000C3A3B"/>
    <w:p w14:paraId="589AC63F" w14:textId="4273A083" w:rsidR="000C3A3B" w:rsidRPr="000C3A3B" w:rsidRDefault="000C3A3B" w:rsidP="000C3A3B">
      <w:pPr>
        <w:rPr>
          <w:b/>
          <w:bCs/>
          <w:color w:val="EE0000"/>
        </w:rPr>
      </w:pPr>
      <w:r w:rsidRPr="000C3A3B">
        <w:rPr>
          <w:rFonts w:ascii="Segoe UI Emoji" w:hAnsi="Segoe UI Emoji" w:cs="Segoe UI Emoji"/>
          <w:b/>
          <w:bCs/>
          <w:color w:val="EE0000"/>
        </w:rPr>
        <w:lastRenderedPageBreak/>
        <w:t>🔄</w:t>
      </w:r>
      <w:r w:rsidRPr="000C3A3B">
        <w:rPr>
          <w:b/>
          <w:bCs/>
          <w:color w:val="EE0000"/>
        </w:rPr>
        <w:t xml:space="preserve"> Follow-up Query with Policy RAG Bot (refine this audit report)</w:t>
      </w:r>
    </w:p>
    <w:p w14:paraId="39C9A2E2" w14:textId="2840CA39" w:rsidR="000C3A3B" w:rsidRPr="000C3A3B" w:rsidRDefault="000C3A3B" w:rsidP="000C3A3B">
      <w:pPr>
        <w:rPr>
          <w:b/>
          <w:bCs/>
          <w:color w:val="EE0000"/>
        </w:rPr>
      </w:pPr>
      <w:r w:rsidRPr="000C3A3B">
        <w:rPr>
          <w:b/>
          <w:bCs/>
          <w:color w:val="EE0000"/>
        </w:rPr>
        <w:t xml:space="preserve">which accounting standards, SIA or </w:t>
      </w:r>
      <w:proofErr w:type="spellStart"/>
      <w:r w:rsidRPr="000C3A3B">
        <w:rPr>
          <w:b/>
          <w:bCs/>
          <w:color w:val="EE0000"/>
        </w:rPr>
        <w:t>caro</w:t>
      </w:r>
      <w:proofErr w:type="spellEnd"/>
      <w:r w:rsidRPr="000C3A3B">
        <w:rPr>
          <w:b/>
          <w:bCs/>
          <w:color w:val="EE0000"/>
        </w:rPr>
        <w:t xml:space="preserve"> rules has been violated while recording this payment anomaly, you can refer standards registry browser for standards reference purpose.</w:t>
      </w:r>
    </w:p>
    <w:p w14:paraId="077A83A2" w14:textId="77777777" w:rsidR="000C3A3B" w:rsidRPr="000C3A3B" w:rsidRDefault="000C3A3B" w:rsidP="000C3A3B">
      <w:r w:rsidRPr="000C3A3B">
        <w:t>Based on the provided information, the following accounting standards and CARO rules are likely violated:</w:t>
      </w:r>
    </w:p>
    <w:p w14:paraId="021894EE" w14:textId="77777777" w:rsidR="000C3A3B" w:rsidRPr="000C3A3B" w:rsidRDefault="000C3A3B" w:rsidP="000C3A3B">
      <w:pPr>
        <w:numPr>
          <w:ilvl w:val="0"/>
          <w:numId w:val="3"/>
        </w:numPr>
      </w:pPr>
      <w:r w:rsidRPr="000C3A3B">
        <w:rPr>
          <w:b/>
          <w:bCs/>
        </w:rPr>
        <w:t>Indian Accounting Standard (Ind AS 24) - Related Party Disclosures:</w:t>
      </w:r>
    </w:p>
    <w:p w14:paraId="04160EFC" w14:textId="77777777" w:rsidR="000C3A3B" w:rsidRPr="000C3A3B" w:rsidRDefault="000C3A3B" w:rsidP="000C3A3B">
      <w:pPr>
        <w:numPr>
          <w:ilvl w:val="1"/>
          <w:numId w:val="3"/>
        </w:numPr>
      </w:pPr>
      <w:r w:rsidRPr="000C3A3B">
        <w:t>The audit report explicitly identifies VENDOR_047 and VENDOR_004 as related parties.</w:t>
      </w:r>
    </w:p>
    <w:p w14:paraId="5D498694" w14:textId="77777777" w:rsidR="000C3A3B" w:rsidRPr="000C3A3B" w:rsidRDefault="000C3A3B" w:rsidP="000C3A3B">
      <w:pPr>
        <w:numPr>
          <w:ilvl w:val="1"/>
          <w:numId w:val="3"/>
        </w:numPr>
      </w:pPr>
      <w:r w:rsidRPr="000C3A3B">
        <w:t>Ind AS 24 requires disclosure of related party relationships, transactions, and outstanding balances to ensure transparency and prevent conflicts of interest.</w:t>
      </w:r>
    </w:p>
    <w:p w14:paraId="68BCD2F7" w14:textId="77777777" w:rsidR="000C3A3B" w:rsidRPr="000C3A3B" w:rsidRDefault="000C3A3B" w:rsidP="000C3A3B">
      <w:pPr>
        <w:numPr>
          <w:ilvl w:val="1"/>
          <w:numId w:val="3"/>
        </w:numPr>
      </w:pPr>
      <w:r w:rsidRPr="000C3A3B">
        <w:t>The report notes "requiring enhanced scrutiny due to inherent conflict of interest risks" and "suggests a need for robust governance and disclosure mechanisms." If these transactions are not properly disclosed in the financial statements, Ind AS 24 is violated.</w:t>
      </w:r>
    </w:p>
    <w:p w14:paraId="2EF63E46" w14:textId="77777777" w:rsidR="000C3A3B" w:rsidRPr="000C3A3B" w:rsidRDefault="000C3A3B" w:rsidP="000C3A3B">
      <w:pPr>
        <w:numPr>
          <w:ilvl w:val="0"/>
          <w:numId w:val="3"/>
        </w:numPr>
      </w:pPr>
      <w:r w:rsidRPr="000C3A3B">
        <w:rPr>
          <w:b/>
          <w:bCs/>
        </w:rPr>
        <w:t>Companies (Auditor's Report) Order (CARO) 2020, Clause (xiii) - Related Party Transactions:</w:t>
      </w:r>
    </w:p>
    <w:p w14:paraId="37BFD687" w14:textId="77777777" w:rsidR="000C3A3B" w:rsidRPr="000C3A3B" w:rsidRDefault="000C3A3B" w:rsidP="000C3A3B">
      <w:pPr>
        <w:numPr>
          <w:ilvl w:val="1"/>
          <w:numId w:val="3"/>
        </w:numPr>
      </w:pPr>
      <w:r w:rsidRPr="000C3A3B">
        <w:t>This clause requires the auditor to report whether transactions with related parties are in compliance with Sections 177 and 188 of the Companies Act, 2013, and whether details have been disclosed in the financial statements as required by applicable accounting standards.</w:t>
      </w:r>
    </w:p>
    <w:p w14:paraId="5595BD60" w14:textId="77777777" w:rsidR="000C3A3B" w:rsidRPr="000C3A3B" w:rsidRDefault="000C3A3B" w:rsidP="000C3A3B">
      <w:pPr>
        <w:numPr>
          <w:ilvl w:val="1"/>
          <w:numId w:val="3"/>
        </w:numPr>
      </w:pPr>
      <w:r w:rsidRPr="000C3A3B">
        <w:t>Given the identified related party transactions and the call for "robust governance and disclosure mechanisms," a failure to comply with these sections or to provide adequate disclosures would constitute a violation of CARO 2020, Clause (xiii).</w:t>
      </w:r>
    </w:p>
    <w:p w14:paraId="6C8EFEE3" w14:textId="77777777" w:rsidR="000C3A3B" w:rsidRPr="000C3A3B" w:rsidRDefault="000C3A3B" w:rsidP="000C3A3B">
      <w:r w:rsidRPr="000C3A3B">
        <w:t>While overdue payments represent operational control failures and high anomaly scores indicate potential underlying issues including fraud, they do not, by themselves, constitute direct violations of specific accounting standards or CARO rules at this stage. However, the confirmed existence of related parties with identified risks strongly points to violations in disclosure and compliance.</w:t>
      </w:r>
    </w:p>
    <w:p w14:paraId="44D543B3" w14:textId="77777777" w:rsidR="000C3A3B" w:rsidRPr="000C3A3B" w:rsidRDefault="000C3A3B" w:rsidP="000C3A3B">
      <w:r w:rsidRPr="000C3A3B">
        <w:rPr>
          <w:rFonts w:ascii="Segoe UI Emoji" w:hAnsi="Segoe UI Emoji" w:cs="Segoe UI Emoji"/>
        </w:rPr>
        <w:t>📚</w:t>
      </w:r>
      <w:r w:rsidRPr="000C3A3B">
        <w:t xml:space="preserve"> Sources &amp; References</w:t>
      </w:r>
    </w:p>
    <w:p w14:paraId="4492FFF8" w14:textId="77777777" w:rsidR="000C3A3B" w:rsidRPr="000C3A3B" w:rsidRDefault="000C3A3B" w:rsidP="000C3A3B">
      <w:pPr>
        <w:numPr>
          <w:ilvl w:val="0"/>
          <w:numId w:val="4"/>
        </w:numPr>
      </w:pPr>
      <w:r w:rsidRPr="000C3A3B">
        <w:t>Flagged Transactions Summary</w:t>
      </w:r>
    </w:p>
    <w:p w14:paraId="5672B40B" w14:textId="77777777" w:rsidR="000C3A3B" w:rsidRPr="000C3A3B" w:rsidRDefault="000C3A3B" w:rsidP="000C3A3B">
      <w:pPr>
        <w:numPr>
          <w:ilvl w:val="0"/>
          <w:numId w:val="4"/>
        </w:numPr>
      </w:pPr>
      <w:r w:rsidRPr="000C3A3B">
        <w:t>Initial Audit Report</w:t>
      </w:r>
    </w:p>
    <w:p w14:paraId="0971F9DE" w14:textId="77777777" w:rsidR="000C3A3B" w:rsidRPr="000C3A3B" w:rsidRDefault="000C3A3B" w:rsidP="000C3A3B">
      <w:r w:rsidRPr="000C3A3B">
        <w:t xml:space="preserve">Dynamic multi-vendor Contract RAG via full </w:t>
      </w:r>
      <w:proofErr w:type="spellStart"/>
      <w:r w:rsidRPr="000C3A3B">
        <w:t>pgvector</w:t>
      </w:r>
      <w:proofErr w:type="spellEnd"/>
      <w:r w:rsidRPr="000C3A3B">
        <w:t xml:space="preserve"> repository | Interactive follow-up with persistent context + PDF export</w:t>
      </w:r>
    </w:p>
    <w:p w14:paraId="40A66F5D" w14:textId="77777777" w:rsidR="00E353F4" w:rsidRDefault="00E353F4"/>
    <w:sectPr w:rsidR="00E353F4" w:rsidSect="000C3A3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F74E2"/>
    <w:multiLevelType w:val="multilevel"/>
    <w:tmpl w:val="918A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7071C6"/>
    <w:multiLevelType w:val="multilevel"/>
    <w:tmpl w:val="0488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F66FF5"/>
    <w:multiLevelType w:val="multilevel"/>
    <w:tmpl w:val="BA70FB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BE45B7"/>
    <w:multiLevelType w:val="multilevel"/>
    <w:tmpl w:val="959887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5137554">
    <w:abstractNumId w:val="2"/>
  </w:num>
  <w:num w:numId="2" w16cid:durableId="481655078">
    <w:abstractNumId w:val="0"/>
  </w:num>
  <w:num w:numId="3" w16cid:durableId="1435130169">
    <w:abstractNumId w:val="3"/>
  </w:num>
  <w:num w:numId="4" w16cid:durableId="11052726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0E2"/>
    <w:rsid w:val="000A60E2"/>
    <w:rsid w:val="000C3A3B"/>
    <w:rsid w:val="00126088"/>
    <w:rsid w:val="002A416A"/>
    <w:rsid w:val="006263D0"/>
    <w:rsid w:val="008768CB"/>
    <w:rsid w:val="00E353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675EC"/>
  <w15:chartTrackingRefBased/>
  <w15:docId w15:val="{6EB47115-49C6-4DC8-AF8B-25FF4DCE9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0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60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60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60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60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60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0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0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0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0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60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60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60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60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60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0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0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0E2"/>
    <w:rPr>
      <w:rFonts w:eastAsiaTheme="majorEastAsia" w:cstheme="majorBidi"/>
      <w:color w:val="272727" w:themeColor="text1" w:themeTint="D8"/>
    </w:rPr>
  </w:style>
  <w:style w:type="paragraph" w:styleId="Title">
    <w:name w:val="Title"/>
    <w:basedOn w:val="Normal"/>
    <w:next w:val="Normal"/>
    <w:link w:val="TitleChar"/>
    <w:uiPriority w:val="10"/>
    <w:qFormat/>
    <w:rsid w:val="000A60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0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0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0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0E2"/>
    <w:pPr>
      <w:spacing w:before="160"/>
      <w:jc w:val="center"/>
    </w:pPr>
    <w:rPr>
      <w:i/>
      <w:iCs/>
      <w:color w:val="404040" w:themeColor="text1" w:themeTint="BF"/>
    </w:rPr>
  </w:style>
  <w:style w:type="character" w:customStyle="1" w:styleId="QuoteChar">
    <w:name w:val="Quote Char"/>
    <w:basedOn w:val="DefaultParagraphFont"/>
    <w:link w:val="Quote"/>
    <w:uiPriority w:val="29"/>
    <w:rsid w:val="000A60E2"/>
    <w:rPr>
      <w:i/>
      <w:iCs/>
      <w:color w:val="404040" w:themeColor="text1" w:themeTint="BF"/>
    </w:rPr>
  </w:style>
  <w:style w:type="paragraph" w:styleId="ListParagraph">
    <w:name w:val="List Paragraph"/>
    <w:basedOn w:val="Normal"/>
    <w:uiPriority w:val="34"/>
    <w:qFormat/>
    <w:rsid w:val="000A60E2"/>
    <w:pPr>
      <w:ind w:left="720"/>
      <w:contextualSpacing/>
    </w:pPr>
  </w:style>
  <w:style w:type="character" w:styleId="IntenseEmphasis">
    <w:name w:val="Intense Emphasis"/>
    <w:basedOn w:val="DefaultParagraphFont"/>
    <w:uiPriority w:val="21"/>
    <w:qFormat/>
    <w:rsid w:val="000A60E2"/>
    <w:rPr>
      <w:i/>
      <w:iCs/>
      <w:color w:val="2F5496" w:themeColor="accent1" w:themeShade="BF"/>
    </w:rPr>
  </w:style>
  <w:style w:type="paragraph" w:styleId="IntenseQuote">
    <w:name w:val="Intense Quote"/>
    <w:basedOn w:val="Normal"/>
    <w:next w:val="Normal"/>
    <w:link w:val="IntenseQuoteChar"/>
    <w:uiPriority w:val="30"/>
    <w:qFormat/>
    <w:rsid w:val="000A60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60E2"/>
    <w:rPr>
      <w:i/>
      <w:iCs/>
      <w:color w:val="2F5496" w:themeColor="accent1" w:themeShade="BF"/>
    </w:rPr>
  </w:style>
  <w:style w:type="character" w:styleId="IntenseReference">
    <w:name w:val="Intense Reference"/>
    <w:basedOn w:val="DefaultParagraphFont"/>
    <w:uiPriority w:val="32"/>
    <w:qFormat/>
    <w:rsid w:val="000A60E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1058</Words>
  <Characters>6037</Characters>
  <Application>Microsoft Office Word</Application>
  <DocSecurity>0</DocSecurity>
  <Lines>50</Lines>
  <Paragraphs>14</Paragraphs>
  <ScaleCrop>false</ScaleCrop>
  <Company/>
  <LinksUpToDate>false</LinksUpToDate>
  <CharactersWithSpaces>7081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Kumar Sharma</dc:creator>
  <cp:keywords/>
  <dc:description/>
  <cp:lastModifiedBy>Ashok Kumar Sharma</cp:lastModifiedBy>
  <cp:revision>2</cp:revision>
  <dcterms:created xsi:type="dcterms:W3CDTF">2026-05-03T19:05:00Z</dcterms:created>
  <dcterms:modified xsi:type="dcterms:W3CDTF">2026-05-03T19:07:00Z</dcterms:modified>
</cp:coreProperties>
</file>