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SWTID-2026-9505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- Implement Client Script &amp; UI Policy (Incident)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ServiceNow configuration to control Incident form behaviour using a UI Policy (High Impact Control) and Client Scripts (onChange, onSubmit and onCellEdit).</w:t>
              <w:br w:type="textWrapping"/>
              <w:br w:type="textWrapping"/>
            </w:r>
            <w:r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>
              <w:rPr>
                <w:rFonts w:ascii="Calibri" w:cs="Calibri" w:eastAsia="Calibri" w:hAnsi="Calibri"/>
                <w:rtl w:val="0"/>
              </w:rPr>
              <w:t xml:space="preserve">When Impact is High, Urgency is set to 1 - High automatically; invalid saves and direct list edits of the State field are blocked with a message.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0" cy="1071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7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- this is a ServiceNow configuration project and does not use a trained ML model.</w:t>
              <w:br w:type="textWrapping"/>
              <w:br w:type="textWrapping"/>
              <w:t xml:space="preserve">Testing result: all 5 test activities in Milestone 6 (mandatory enforcement, successful save, reverse condition, list edit blocking, form-based update) behaved as expected.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0" cy="1071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7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- confidence score is only for YOLO projects. Screenshots show the onChange and onCellEdit client scripts used.</w:t>
              <w:br w:type="textWrapping"/>
              <w:br w:type="textWrapping"/>
              <w:t xml:space="preserve">Class detection / confidence score: N/A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107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7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10710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7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