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3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3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 –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2565"/>
        <w:gridCol w:w="5535"/>
        <w:tblGridChange w:id="0">
          <w:tblGrid>
            <w:gridCol w:w="780"/>
            <w:gridCol w:w="2565"/>
            <w:gridCol w:w="553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10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Incident records from the ServiceNow instance, rendered on the Incident form and in the Incident list (All incidents), showing the Impact, Urgency, Assigned To and State fields.</w:t>
            </w:r>
          </w:p>
          <w:p>
            <w:pPr>
              <w:spacing w:after="10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3200400" cy="1799346"/>
                  <wp:docPr id="201" name="Screenshot 201" descr="ServiceNow screenshot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shot13.png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9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3200400" cy="1799346"/>
                  <wp:docPr id="202" name="Screenshot 202" descr="ServiceNow screenshot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shot15.png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9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– no data import, cleaning or transformation is used; the data is native ServiceNow Incident records. Equivalent data handling is done on the client side: the onChange script auto-sets Urgency when Impact changes, and the onSubmit script validates that Assigned To is filled before an incident is saved.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>
            <w:pPr>
              <w:spacing w:after="10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report filters are used. Equivalent conditions: the UI Policy "High Impact Control" on the Incident table applies only when Impact is 1 – High (Reverse if false = true), and the Incident list is opened via All incidents.</w:t>
            </w:r>
          </w:p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3200400" cy="1799346"/>
                  <wp:docPr id="203" name="Screenshot 203" descr="ServiceNow screenshot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3" name="shot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9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>
            <w:pPr>
              <w:spacing w:after="10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Not applicable – no DAX is used because the project does not include Power BI. Equivalent logic is written as three Client Scripts: onChange (Impact → Urgency auto-set with an info message), onSubmit (Assigned To mandatory for High impact, error message on save) and onCellEdit (blocks State edits from the list view with an alert).</w:t>
            </w:r>
          </w:p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noProof/>
              </w:rPr>
              <w:drawing>
                <wp:inline distT="0" distB="0" distL="0" distR="0">
                  <wp:extent cx="3200400" cy="1799346"/>
                  <wp:docPr id="204" name="Screenshot 204" descr="ServiceNow screenshot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shot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9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rtl w:val="0"/>
              </w:rPr>
              <w:t xml:space="preserve">0. No dashboard was built; the project is a form-behaviour configuration (UI Policy and Client Scripts) on the Incident 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spacing w:after="0"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rtl w:val="0"/>
              </w:rPr>
              <w:t xml:space="preserve">0. No report was built; results are validated through the five test activities in Milestone 6 (Testing the Configuration).</w:t>
            </w:r>
          </w:p>
        </w:tc>
      </w:tr>
    </w:tbl>
    <w:p w:rsidR="00000000" w:rsidDel="00000000" w:rsidP="00000000" w:rsidRDefault="00000000" w:rsidRPr="00000000" w14:paraId="000003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Img13" Type="http://schemas.openxmlformats.org/officeDocument/2006/relationships/image" Target="media/shot13.png"/><Relationship Id="rIdImg15" Type="http://schemas.openxmlformats.org/officeDocument/2006/relationships/image" Target="media/shot15.png"/><Relationship Id="rIdImg1" Type="http://schemas.openxmlformats.org/officeDocument/2006/relationships/image" Target="media/shot1.png"/><Relationship Id="rIdImg4" Type="http://schemas.openxmlformats.org/officeDocument/2006/relationships/image" Target="media/shot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