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12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Jumat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${no_surat}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${perihal}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