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NYRA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Delapan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Oktober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Hendrik Heriyanto Gosali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Kantor Taman E3.3 Unit C8 Jl. Dr. Ide Anak Agung Gde Agung Lot 86-87 Kawasan Mega Kuningan, Jakarta 12950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NYRA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BCA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PO/001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18 Oktober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Permintaaan terkait pengadaan card reader untuk BCA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100 (seratus)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NYRA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BCA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Hendrik Heriyanto Gosali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