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Jumat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-Jln. Soekarno Hatta No. 442 Bandung 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LEN INDONESIA (PERSERO)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CIMB SECURITIES INDONESIA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44444444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17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Testing 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0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/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PT. LEN INDONESIA (PERSERO)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CIMB SECURITIES INDONESIA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