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NYRA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PO-NYRA/12345678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14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EKTP Reader 100 pcs,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PO-NYRA/12345678 tanggal 14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100 (seratus)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 Global Megah Karsautama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