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470/821/DKPS.C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27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Permohonan Personalisasi Kartu SAM,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/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/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