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949215"/>
            <wp:docPr id="1" name="Picture 1"/>
            <wp:cNvGraphicFramePr>
              <a:graphicFrameLocks noChangeAspect="1"/>
            </wp:cNvGraphicFramePr>
            <a:graphic>
              <a:graphicData uri="http://schemas.openxmlformats.org/drawingml/2006/picture">
                <pic:pic>
                  <pic:nvPicPr>
                    <pic:cNvPr id="0" name="LOGO AKSANTIC.jpeg"/>
                    <pic:cNvPicPr/>
                  </pic:nvPicPr>
                  <pic:blipFill>
                    <a:blip r:embed="rId9"/>
                    <a:stretch>
                      <a:fillRect/>
                    </a:stretch>
                  </pic:blipFill>
                  <pic:spPr>
                    <a:xfrm>
                      <a:off x="0" y="0"/>
                      <a:ext cx="1005840" cy="949215"/>
                    </a:xfrm>
                    <a:prstGeom prst="rect"/>
                  </pic:spPr>
                </pic:pic>
              </a:graphicData>
            </a:graphic>
          </wp:inline>
        </w:drawing>
      </w:r>
    </w:p>
    <w:p>
      <w:pPr>
        <w:jc w:val="center"/>
      </w:pPr>
      <w:r>
        <w:rPr>
          <w:rFonts w:ascii="Arial" w:hAnsi="Arial"/>
          <w:b/>
          <w:color w:val="1D4ED8"/>
          <w:sz w:val="26"/>
        </w:rPr>
        <w:t>MPANGI_PHARMA</w:t>
      </w:r>
    </w:p>
    <w:p>
      <w:pPr>
        <w:jc w:val="center"/>
      </w:pPr>
      <w:r>
        <w:rPr>
          <w:b/>
          <w:color w:val="0F172A"/>
          <w:sz w:val="56"/>
        </w:rPr>
        <w:t>Guide administrateur technique</w:t>
      </w:r>
    </w:p>
    <w:p>
      <w:pPr>
        <w:jc w:val="center"/>
      </w:pPr>
      <w:r>
        <w:rPr>
          <w:color w:val="64748B"/>
          <w:sz w:val="24"/>
        </w:rPr>
        <w:t>Architecture, configuration, exploitation et support de Mpangi_Pharma</w:t>
      </w:r>
    </w:p>
    <w:p/>
    <w:tbl>
      <w:tblPr>
        <w:tblStyle w:val="TableGrid"/>
        <w:tblW w:type="auto" w:w="0"/>
        <w:jc w:val="center"/>
        <w:tblLook w:firstColumn="1" w:firstRow="1" w:lastColumn="0" w:lastRow="0" w:noHBand="0" w:noVBand="1" w:val="04A0"/>
      </w:tblPr>
      <w:tblGrid>
        <w:gridCol w:w="5213"/>
        <w:gridCol w:w="5213"/>
      </w:tblGrid>
      <w:tr>
        <w:tc>
          <w:tcPr>
            <w:tcW w:type="dxa" w:w="5213"/>
            <w:shd w:fill="DBEAFE"/>
            <w:vAlign w:val="center"/>
          </w:tcPr>
          <w:p>
            <w:r/>
            <w:r>
              <w:rPr>
                <w:b/>
                <w:color w:val="0F172A"/>
                <w:sz w:val="18"/>
              </w:rPr>
              <w:t>Version</w:t>
            </w:r>
          </w:p>
        </w:tc>
        <w:tc>
          <w:tcPr>
            <w:tcW w:type="dxa" w:w="5213"/>
            <w:vAlign w:val="center"/>
          </w:tcPr>
          <w:p>
            <w:r/>
            <w:r>
              <w:rPr>
                <w:b w:val="0"/>
                <w:sz w:val="18"/>
              </w:rPr>
              <w:t>v1.0 - état projet 92%</w:t>
            </w:r>
          </w:p>
        </w:tc>
      </w:tr>
      <w:tr>
        <w:tc>
          <w:tcPr>
            <w:tcW w:type="dxa" w:w="5213"/>
            <w:shd w:fill="DBEAFE"/>
            <w:vAlign w:val="center"/>
          </w:tcPr>
          <w:p>
            <w:r/>
            <w:r>
              <w:rPr>
                <w:b/>
                <w:color w:val="0F172A"/>
                <w:sz w:val="18"/>
              </w:rPr>
              <w:t>Public cible</w:t>
            </w:r>
          </w:p>
        </w:tc>
        <w:tc>
          <w:tcPr>
            <w:tcW w:type="dxa" w:w="5213"/>
            <w:vAlign w:val="center"/>
          </w:tcPr>
          <w:p>
            <w:r/>
            <w:r>
              <w:rPr>
                <w:b w:val="0"/>
                <w:sz w:val="18"/>
              </w:rPr>
              <w:t>Super Admin, administrateur système, responsable support</w:t>
            </w:r>
          </w:p>
        </w:tc>
      </w:tr>
      <w:tr>
        <w:tc>
          <w:tcPr>
            <w:tcW w:type="dxa" w:w="5213"/>
            <w:shd w:fill="DBEAFE"/>
            <w:vAlign w:val="center"/>
          </w:tcPr>
          <w:p>
            <w:r/>
            <w:r>
              <w:rPr>
                <w:b/>
                <w:color w:val="0F172A"/>
                <w:sz w:val="18"/>
              </w:rPr>
              <w:t>Date</w:t>
            </w:r>
          </w:p>
        </w:tc>
        <w:tc>
          <w:tcPr>
            <w:tcW w:type="dxa" w:w="5213"/>
            <w:vAlign w:val="center"/>
          </w:tcPr>
          <w:p>
            <w:r/>
            <w:r>
              <w:rPr>
                <w:b w:val="0"/>
                <w:sz w:val="18"/>
              </w:rPr>
              <w:t>30 juin 2026</w:t>
            </w:r>
          </w:p>
        </w:tc>
      </w:tr>
      <w:tr>
        <w:tc>
          <w:tcPr>
            <w:tcW w:type="dxa" w:w="5213"/>
            <w:shd w:fill="DBEAFE"/>
            <w:vAlign w:val="center"/>
          </w:tcPr>
          <w:p>
            <w:r/>
            <w:r>
              <w:rPr>
                <w:b/>
                <w:color w:val="0F172A"/>
                <w:sz w:val="18"/>
              </w:rPr>
              <w:t>Éditeur</w:t>
            </w:r>
          </w:p>
        </w:tc>
        <w:tc>
          <w:tcPr>
            <w:tcW w:type="dxa" w:w="5213"/>
            <w:vAlign w:val="center"/>
          </w:tcPr>
          <w:p>
            <w:r/>
            <w:r>
              <w:rPr>
                <w:b w:val="0"/>
                <w:sz w:val="18"/>
              </w:rPr>
              <w:t>Aksantic Technology</w:t>
            </w:r>
          </w:p>
        </w:tc>
      </w:tr>
    </w:tbl>
    <w:p/>
    <w:p>
      <w:pPr>
        <w:jc w:val="center"/>
      </w:pPr>
      <w:r>
        <w:rPr>
          <w:i/>
          <w:color w:val="64748B"/>
          <w:sz w:val="18"/>
        </w:rPr>
        <w:t>Document de référence pour configuration, formation, déploiement et support.</w:t>
      </w:r>
    </w:p>
    <w:p>
      <w:r>
        <w:br w:type="page"/>
      </w:r>
    </w:p>
    <w:p>
      <w:pPr>
        <w:pStyle w:val="Heading1"/>
      </w:pPr>
      <w:r>
        <w:t>Sommaire</w:t>
      </w:r>
    </w:p>
    <w:p>
      <w:pPr>
        <w:ind w:left="113"/>
      </w:pPr>
      <w:r>
        <w:rPr>
          <w:b/>
          <w:color w:val="0F172A"/>
          <w:sz w:val="20"/>
        </w:rPr>
        <w:t>1. Objectif du guide et périmètre</w:t>
      </w:r>
    </w:p>
    <w:p>
      <w:pPr>
        <w:ind w:left="113"/>
      </w:pPr>
      <w:r>
        <w:rPr>
          <w:b/>
          <w:color w:val="0F172A"/>
          <w:sz w:val="20"/>
        </w:rPr>
        <w:t>2. Architecture technique et composants</w:t>
      </w:r>
    </w:p>
    <w:p>
      <w:pPr>
        <w:ind w:left="113"/>
      </w:pPr>
      <w:r>
        <w:rPr>
          <w:b/>
          <w:color w:val="0F172A"/>
          <w:sz w:val="20"/>
        </w:rPr>
        <w:t>3. Modèle de données et sécurité</w:t>
      </w:r>
    </w:p>
    <w:p>
      <w:pPr>
        <w:ind w:left="113"/>
      </w:pPr>
      <w:r>
        <w:rPr>
          <w:b/>
          <w:color w:val="0F172A"/>
          <w:sz w:val="20"/>
        </w:rPr>
        <w:t>4. Configuration environnement et déploiement</w:t>
      </w:r>
    </w:p>
    <w:p>
      <w:pPr>
        <w:ind w:left="113"/>
      </w:pPr>
      <w:r>
        <w:rPr>
          <w:b/>
          <w:color w:val="0F172A"/>
          <w:sz w:val="20"/>
        </w:rPr>
        <w:t>5. Gestion Super Admin</w:t>
      </w:r>
    </w:p>
    <w:p>
      <w:pPr>
        <w:ind w:left="113"/>
      </w:pPr>
      <w:r>
        <w:rPr>
          <w:b/>
          <w:color w:val="0F172A"/>
          <w:sz w:val="20"/>
        </w:rPr>
        <w:t>6. Catalogue ACOREP 2026</w:t>
      </w:r>
    </w:p>
    <w:p>
      <w:pPr>
        <w:ind w:left="113"/>
      </w:pPr>
      <w:r>
        <w:rPr>
          <w:b/>
          <w:color w:val="0F172A"/>
          <w:sz w:val="20"/>
        </w:rPr>
        <w:t>7. Modules métiers et flux de données</w:t>
      </w:r>
    </w:p>
    <w:p>
      <w:pPr>
        <w:ind w:left="113"/>
      </w:pPr>
      <w:r>
        <w:rPr>
          <w:b/>
          <w:color w:val="0F172A"/>
          <w:sz w:val="20"/>
        </w:rPr>
        <w:t>8. PWA, terminal Android et impression</w:t>
      </w:r>
    </w:p>
    <w:p>
      <w:pPr>
        <w:ind w:left="113"/>
      </w:pPr>
      <w:r>
        <w:rPr>
          <w:b/>
          <w:color w:val="0F172A"/>
          <w:sz w:val="20"/>
        </w:rPr>
        <w:t>9. Maintenance, sauvegarde et support</w:t>
      </w:r>
    </w:p>
    <w:p>
      <w:pPr>
        <w:ind w:left="113"/>
      </w:pPr>
      <w:r>
        <w:rPr>
          <w:b/>
          <w:color w:val="0F172A"/>
          <w:sz w:val="20"/>
        </w:rPr>
        <w:t>10. Checklist production et recette technique</w:t>
      </w:r>
    </w:p>
    <w:p>
      <w:r>
        <w:br w:type="page"/>
      </w:r>
    </w:p>
    <w:p>
      <w:pPr>
        <w:pStyle w:val="Heading1"/>
      </w:pPr>
      <w:r>
        <w:t>1. Objectif du guide et périmètre</w:t>
      </w:r>
    </w:p>
    <w:p>
      <w:r>
        <w:t>Ce guide sert de référence pour installer, configurer, administrer et maintenir Mpangi_Pharma. Il couvre la partie technique, l’architecture, les paramètres Super Admin, le catalogue ACOREP 2026, la sécurité, le déploiement et la préparation de la production.</w:t>
      </w:r>
    </w:p>
    <w:tbl>
      <w:tblPr>
        <w:tblW w:type="auto" w:w="0"/>
        <w:jc w:val="center"/>
        <w:tblLook w:firstColumn="1" w:firstRow="1" w:lastColumn="0" w:lastRow="0" w:noHBand="0" w:noVBand="1" w:val="04A0"/>
      </w:tblPr>
      <w:tblGrid>
        <w:gridCol w:w="10426"/>
      </w:tblGrid>
      <w:tr>
        <w:tc>
          <w:tcPr>
            <w:tcW w:type="dxa" w:w="10426"/>
            <w:shd w:fill="D1FAE5"/>
          </w:tcPr>
          <w:p>
            <w:r>
              <w:rPr>
                <w:b/>
                <w:color w:val="047857"/>
                <w:sz w:val="20"/>
              </w:rPr>
              <w:t>Position actuelle</w:t>
              <w:br/>
            </w:r>
            <w:r>
              <w:rPr>
                <w:color w:val="0F172A"/>
                <w:sz w:val="18"/>
              </w:rPr>
              <w:t>L’application est considérée comme prête à environ 92% pour une phase pilote. Les priorités restantes sont l’optimisation mobile page par page, les tests d’impression, la recette vente/facture et les tests terrain sur terminal Android.</w:t>
            </w:r>
          </w:p>
        </w:tc>
      </w:tr>
    </w:tbl>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268"/>
            <w:shd w:fill="1D4ED8"/>
            <w:vAlign w:val="center"/>
          </w:tcPr>
          <w:p>
            <w:r/>
            <w:r>
              <w:rPr>
                <w:b/>
                <w:color w:val="FFFFFF"/>
                <w:sz w:val="17"/>
              </w:rPr>
              <w:t>Zone</w:t>
            </w:r>
          </w:p>
        </w:tc>
        <w:tc>
          <w:tcPr>
            <w:tcW w:type="dxa" w:w="2268"/>
            <w:shd w:fill="1D4ED8"/>
            <w:vAlign w:val="center"/>
          </w:tcPr>
          <w:p>
            <w:r/>
            <w:r>
              <w:rPr>
                <w:b/>
                <w:color w:val="FFFFFF"/>
                <w:sz w:val="17"/>
              </w:rPr>
              <w:t>État</w:t>
            </w:r>
          </w:p>
        </w:tc>
        <w:tc>
          <w:tcPr>
            <w:tcW w:type="dxa" w:w="5102"/>
            <w:shd w:fill="1D4ED8"/>
            <w:vAlign w:val="center"/>
          </w:tcPr>
          <w:p>
            <w:r/>
            <w:r>
              <w:rPr>
                <w:b/>
                <w:color w:val="FFFFFF"/>
                <w:sz w:val="17"/>
              </w:rPr>
              <w:t>Observation</w:t>
            </w:r>
          </w:p>
        </w:tc>
      </w:tr>
      <w:tr>
        <w:tc>
          <w:tcPr>
            <w:tcW w:type="dxa" w:w="2268"/>
            <w:vAlign w:val="center"/>
          </w:tcPr>
          <w:p>
            <w:r/>
            <w:r>
              <w:rPr>
                <w:b w:val="0"/>
                <w:sz w:val="17"/>
              </w:rPr>
              <w:t>Web desktop</w:t>
            </w:r>
          </w:p>
        </w:tc>
        <w:tc>
          <w:tcPr>
            <w:tcW w:type="dxa" w:w="2268"/>
            <w:vAlign w:val="center"/>
          </w:tcPr>
          <w:p>
            <w:r/>
            <w:r>
              <w:rPr>
                <w:b w:val="0"/>
                <w:sz w:val="17"/>
              </w:rPr>
              <w:t>Avancé</w:t>
            </w:r>
          </w:p>
        </w:tc>
        <w:tc>
          <w:tcPr>
            <w:tcW w:type="dxa" w:w="5102"/>
            <w:vAlign w:val="center"/>
          </w:tcPr>
          <w:p>
            <w:r/>
            <w:r>
              <w:rPr>
                <w:b w:val="0"/>
                <w:sz w:val="17"/>
              </w:rPr>
              <w:t>Interface fonctionnelle pour administration et opérations.</w:t>
            </w:r>
          </w:p>
        </w:tc>
      </w:tr>
      <w:tr>
        <w:tc>
          <w:tcPr>
            <w:tcW w:type="dxa" w:w="2268"/>
            <w:vAlign w:val="center"/>
          </w:tcPr>
          <w:p>
            <w:r/>
            <w:r>
              <w:rPr>
                <w:b w:val="0"/>
                <w:sz w:val="17"/>
              </w:rPr>
              <w:t>Mobile/PWA</w:t>
            </w:r>
          </w:p>
        </w:tc>
        <w:tc>
          <w:tcPr>
            <w:tcW w:type="dxa" w:w="2268"/>
            <w:vAlign w:val="center"/>
          </w:tcPr>
          <w:p>
            <w:r/>
            <w:r>
              <w:rPr>
                <w:b w:val="0"/>
                <w:sz w:val="17"/>
              </w:rPr>
              <w:t>En amélioration</w:t>
            </w:r>
          </w:p>
        </w:tc>
        <w:tc>
          <w:tcPr>
            <w:tcW w:type="dxa" w:w="5102"/>
            <w:vAlign w:val="center"/>
          </w:tcPr>
          <w:p>
            <w:r/>
            <w:r>
              <w:rPr>
                <w:b w:val="0"/>
                <w:sz w:val="17"/>
              </w:rPr>
              <w:t>Navigation mobile corrigée, pages métiers à finaliser.</w:t>
            </w:r>
          </w:p>
        </w:tc>
      </w:tr>
      <w:tr>
        <w:tc>
          <w:tcPr>
            <w:tcW w:type="dxa" w:w="2268"/>
            <w:vAlign w:val="center"/>
          </w:tcPr>
          <w:p>
            <w:r/>
            <w:r>
              <w:rPr>
                <w:b w:val="0"/>
                <w:sz w:val="17"/>
              </w:rPr>
              <w:t>Catalogue médicaments</w:t>
            </w:r>
          </w:p>
        </w:tc>
        <w:tc>
          <w:tcPr>
            <w:tcW w:type="dxa" w:w="2268"/>
            <w:vAlign w:val="center"/>
          </w:tcPr>
          <w:p>
            <w:r/>
            <w:r>
              <w:rPr>
                <w:b w:val="0"/>
                <w:sz w:val="17"/>
              </w:rPr>
              <w:t>Avancé</w:t>
            </w:r>
          </w:p>
        </w:tc>
        <w:tc>
          <w:tcPr>
            <w:tcW w:type="dxa" w:w="5102"/>
            <w:vAlign w:val="center"/>
          </w:tcPr>
          <w:p>
            <w:r/>
            <w:r>
              <w:rPr>
                <w:b w:val="0"/>
                <w:sz w:val="17"/>
              </w:rPr>
              <w:t>ACOREP 2026 importé et exploité dans l’ajout produit.</w:t>
            </w:r>
          </w:p>
        </w:tc>
      </w:tr>
      <w:tr>
        <w:tc>
          <w:tcPr>
            <w:tcW w:type="dxa" w:w="2268"/>
            <w:vAlign w:val="center"/>
          </w:tcPr>
          <w:p>
            <w:r/>
            <w:r>
              <w:rPr>
                <w:b w:val="0"/>
                <w:sz w:val="17"/>
              </w:rPr>
              <w:t>Terminal Android</w:t>
            </w:r>
          </w:p>
        </w:tc>
        <w:tc>
          <w:tcPr>
            <w:tcW w:type="dxa" w:w="2268"/>
            <w:vAlign w:val="center"/>
          </w:tcPr>
          <w:p>
            <w:r/>
            <w:r>
              <w:rPr>
                <w:b w:val="0"/>
                <w:sz w:val="17"/>
              </w:rPr>
              <w:t>À valider terrain</w:t>
            </w:r>
          </w:p>
        </w:tc>
        <w:tc>
          <w:tcPr>
            <w:tcW w:type="dxa" w:w="5102"/>
            <w:vAlign w:val="center"/>
          </w:tcPr>
          <w:p>
            <w:r/>
            <w:r>
              <w:rPr>
                <w:b w:val="0"/>
                <w:sz w:val="17"/>
              </w:rPr>
              <w:t>PWA installable, impression à tester sur modèle réel.</w:t>
            </w:r>
          </w:p>
        </w:tc>
      </w:tr>
      <w:tr>
        <w:tc>
          <w:tcPr>
            <w:tcW w:type="dxa" w:w="2268"/>
            <w:vAlign w:val="center"/>
          </w:tcPr>
          <w:p>
            <w:r/>
            <w:r>
              <w:rPr>
                <w:b w:val="0"/>
                <w:sz w:val="17"/>
              </w:rPr>
              <w:t>Déploiement</w:t>
            </w:r>
          </w:p>
        </w:tc>
        <w:tc>
          <w:tcPr>
            <w:tcW w:type="dxa" w:w="2268"/>
            <w:vAlign w:val="center"/>
          </w:tcPr>
          <w:p>
            <w:r/>
            <w:r>
              <w:rPr>
                <w:b w:val="0"/>
                <w:sz w:val="17"/>
              </w:rPr>
              <w:t>En cours de stabilisation</w:t>
            </w:r>
          </w:p>
        </w:tc>
        <w:tc>
          <w:tcPr>
            <w:tcW w:type="dxa" w:w="5102"/>
            <w:vAlign w:val="center"/>
          </w:tcPr>
          <w:p>
            <w:r/>
            <w:r>
              <w:rPr>
                <w:b w:val="0"/>
                <w:sz w:val="17"/>
              </w:rPr>
              <w:t>GitHub + Vercel + Supabase.</w:t>
            </w:r>
          </w:p>
        </w:tc>
      </w:tr>
    </w:tbl>
    <w:p/>
    <w:p>
      <w:pPr>
        <w:pStyle w:val="Heading1"/>
      </w:pPr>
      <w:r>
        <w:t>2. Architecture technique et composants</w:t>
      </w:r>
    </w:p>
    <w:p>
      <w:pPr>
        <w:jc w:val="center"/>
      </w:pPr>
      <w:r>
        <w:drawing>
          <wp:inline xmlns:a="http://schemas.openxmlformats.org/drawingml/2006/main" xmlns:pic="http://schemas.openxmlformats.org/drawingml/2006/picture">
            <wp:extent cx="5760720" cy="3497580"/>
            <wp:docPr id="2" name="Picture 2"/>
            <wp:cNvGraphicFramePr>
              <a:graphicFrameLocks noChangeAspect="1"/>
            </wp:cNvGraphicFramePr>
            <a:graphic>
              <a:graphicData uri="http://schemas.openxmlformats.org/drawingml/2006/picture">
                <pic:pic>
                  <pic:nvPicPr>
                    <pic:cNvPr id="0" name="architecture_mpangi.png"/>
                    <pic:cNvPicPr/>
                  </pic:nvPicPr>
                  <pic:blipFill>
                    <a:blip r:embed="rId12"/>
                    <a:stretch>
                      <a:fillRect/>
                    </a:stretch>
                  </pic:blipFill>
                  <pic:spPr>
                    <a:xfrm>
                      <a:off x="0" y="0"/>
                      <a:ext cx="5760720" cy="3497580"/>
                    </a:xfrm>
                    <a:prstGeom prst="rect"/>
                  </pic:spPr>
                </pic:pic>
              </a:graphicData>
            </a:graphic>
          </wp:inline>
        </w:drawing>
      </w:r>
    </w:p>
    <w:p>
      <w:pPr>
        <w:jc w:val="center"/>
      </w:pPr>
      <w:r>
        <w:rPr>
          <w:i/>
          <w:color w:val="64748B"/>
          <w:sz w:val="16"/>
        </w:rPr>
        <w:t>Architecture logique de Mpangi_Pharma.</w:t>
      </w:r>
    </w:p>
    <w:p>
      <w:r>
        <w:br w:type="page"/>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268"/>
            <w:shd w:fill="1D4ED8"/>
            <w:vAlign w:val="center"/>
          </w:tcPr>
          <w:p>
            <w:r/>
            <w:r>
              <w:rPr>
                <w:b/>
                <w:color w:val="FFFFFF"/>
                <w:sz w:val="17"/>
              </w:rPr>
              <w:t>Composant</w:t>
            </w:r>
          </w:p>
        </w:tc>
        <w:tc>
          <w:tcPr>
            <w:tcW w:type="dxa" w:w="3402"/>
            <w:shd w:fill="1D4ED8"/>
            <w:vAlign w:val="center"/>
          </w:tcPr>
          <w:p>
            <w:r/>
            <w:r>
              <w:rPr>
                <w:b/>
                <w:color w:val="FFFFFF"/>
                <w:sz w:val="17"/>
              </w:rPr>
              <w:t>Rôle technique</w:t>
            </w:r>
          </w:p>
        </w:tc>
        <w:tc>
          <w:tcPr>
            <w:tcW w:type="dxa" w:w="3969"/>
            <w:shd w:fill="1D4ED8"/>
            <w:vAlign w:val="center"/>
          </w:tcPr>
          <w:p>
            <w:r/>
            <w:r>
              <w:rPr>
                <w:b/>
                <w:color w:val="FFFFFF"/>
                <w:sz w:val="17"/>
              </w:rPr>
              <w:t>Points d’attention</w:t>
            </w:r>
          </w:p>
        </w:tc>
      </w:tr>
      <w:tr>
        <w:tc>
          <w:tcPr>
            <w:tcW w:type="dxa" w:w="2268"/>
            <w:vAlign w:val="center"/>
          </w:tcPr>
          <w:p>
            <w:r/>
            <w:r>
              <w:rPr>
                <w:b w:val="0"/>
                <w:sz w:val="17"/>
              </w:rPr>
              <w:t>Next.js App Router</w:t>
            </w:r>
          </w:p>
        </w:tc>
        <w:tc>
          <w:tcPr>
            <w:tcW w:type="dxa" w:w="3402"/>
            <w:vAlign w:val="center"/>
          </w:tcPr>
          <w:p>
            <w:r/>
            <w:r>
              <w:rPr>
                <w:b w:val="0"/>
                <w:sz w:val="17"/>
              </w:rPr>
              <w:t>Application front-end et routes serveur.</w:t>
            </w:r>
          </w:p>
        </w:tc>
        <w:tc>
          <w:tcPr>
            <w:tcW w:type="dxa" w:w="3969"/>
            <w:vAlign w:val="center"/>
          </w:tcPr>
          <w:p>
            <w:r/>
            <w:r>
              <w:rPr>
                <w:b w:val="0"/>
                <w:sz w:val="17"/>
              </w:rPr>
              <w:t>Contrôler les erreurs de build Vercel et les imports manquants.</w:t>
            </w:r>
          </w:p>
        </w:tc>
      </w:tr>
      <w:tr>
        <w:tc>
          <w:tcPr>
            <w:tcW w:type="dxa" w:w="2268"/>
            <w:vAlign w:val="center"/>
          </w:tcPr>
          <w:p>
            <w:r/>
            <w:r>
              <w:rPr>
                <w:b w:val="0"/>
                <w:sz w:val="17"/>
              </w:rPr>
              <w:t>Supabase Auth</w:t>
            </w:r>
          </w:p>
        </w:tc>
        <w:tc>
          <w:tcPr>
            <w:tcW w:type="dxa" w:w="3402"/>
            <w:vAlign w:val="center"/>
          </w:tcPr>
          <w:p>
            <w:r/>
            <w:r>
              <w:rPr>
                <w:b w:val="0"/>
                <w:sz w:val="17"/>
              </w:rPr>
              <w:t>Connexion, session, profils utilisateurs.</w:t>
            </w:r>
          </w:p>
        </w:tc>
        <w:tc>
          <w:tcPr>
            <w:tcW w:type="dxa" w:w="3969"/>
            <w:vAlign w:val="center"/>
          </w:tcPr>
          <w:p>
            <w:r/>
            <w:r>
              <w:rPr>
                <w:b w:val="0"/>
                <w:sz w:val="17"/>
              </w:rPr>
              <w:t>Ne jamais exposer la clé service role côté client.</w:t>
            </w:r>
          </w:p>
        </w:tc>
      </w:tr>
      <w:tr>
        <w:tc>
          <w:tcPr>
            <w:tcW w:type="dxa" w:w="2268"/>
            <w:vAlign w:val="center"/>
          </w:tcPr>
          <w:p>
            <w:r/>
            <w:r>
              <w:rPr>
                <w:b w:val="0"/>
                <w:sz w:val="17"/>
              </w:rPr>
              <w:t>Supabase PostgreSQL</w:t>
            </w:r>
          </w:p>
        </w:tc>
        <w:tc>
          <w:tcPr>
            <w:tcW w:type="dxa" w:w="3402"/>
            <w:vAlign w:val="center"/>
          </w:tcPr>
          <w:p>
            <w:r/>
            <w:r>
              <w:rPr>
                <w:b w:val="0"/>
                <w:sz w:val="17"/>
              </w:rPr>
              <w:t>Base métier : pharmacies, membres, produits, lots, ventes.</w:t>
            </w:r>
          </w:p>
        </w:tc>
        <w:tc>
          <w:tcPr>
            <w:tcW w:type="dxa" w:w="3969"/>
            <w:vAlign w:val="center"/>
          </w:tcPr>
          <w:p>
            <w:r/>
            <w:r>
              <w:rPr>
                <w:b w:val="0"/>
                <w:sz w:val="17"/>
              </w:rPr>
              <w:t>RLS et RPC doivent protéger les données par pharmacie.</w:t>
            </w:r>
          </w:p>
        </w:tc>
      </w:tr>
      <w:tr>
        <w:tc>
          <w:tcPr>
            <w:tcW w:type="dxa" w:w="2268"/>
            <w:vAlign w:val="center"/>
          </w:tcPr>
          <w:p>
            <w:r/>
            <w:r>
              <w:rPr>
                <w:b w:val="0"/>
                <w:sz w:val="17"/>
              </w:rPr>
              <w:t>Supabase Storage</w:t>
            </w:r>
          </w:p>
        </w:tc>
        <w:tc>
          <w:tcPr>
            <w:tcW w:type="dxa" w:w="3402"/>
            <w:vAlign w:val="center"/>
          </w:tcPr>
          <w:p>
            <w:r/>
            <w:r>
              <w:rPr>
                <w:b w:val="0"/>
                <w:sz w:val="17"/>
              </w:rPr>
              <w:t>Stockage logo pharmacie et documents éventuels.</w:t>
            </w:r>
          </w:p>
        </w:tc>
        <w:tc>
          <w:tcPr>
            <w:tcW w:type="dxa" w:w="3969"/>
            <w:vAlign w:val="center"/>
          </w:tcPr>
          <w:p>
            <w:r/>
            <w:r>
              <w:rPr>
                <w:b w:val="0"/>
                <w:sz w:val="17"/>
              </w:rPr>
              <w:t>Bucket pharmacy-logos configuré.</w:t>
            </w:r>
          </w:p>
        </w:tc>
      </w:tr>
      <w:tr>
        <w:tc>
          <w:tcPr>
            <w:tcW w:type="dxa" w:w="2268"/>
            <w:vAlign w:val="center"/>
          </w:tcPr>
          <w:p>
            <w:r/>
            <w:r>
              <w:rPr>
                <w:b w:val="0"/>
                <w:sz w:val="17"/>
              </w:rPr>
              <w:t>Vercel</w:t>
            </w:r>
          </w:p>
        </w:tc>
        <w:tc>
          <w:tcPr>
            <w:tcW w:type="dxa" w:w="3402"/>
            <w:vAlign w:val="center"/>
          </w:tcPr>
          <w:p>
            <w:r/>
            <w:r>
              <w:rPr>
                <w:b w:val="0"/>
                <w:sz w:val="17"/>
              </w:rPr>
              <w:t>Déploiement web/PWA.</w:t>
            </w:r>
          </w:p>
        </w:tc>
        <w:tc>
          <w:tcPr>
            <w:tcW w:type="dxa" w:w="3969"/>
            <w:vAlign w:val="center"/>
          </w:tcPr>
          <w:p>
            <w:r/>
            <w:r>
              <w:rPr>
                <w:b w:val="0"/>
                <w:sz w:val="17"/>
              </w:rPr>
              <w:t>Variables d’environnement obligatoires.</w:t>
            </w:r>
          </w:p>
        </w:tc>
      </w:tr>
      <w:tr>
        <w:tc>
          <w:tcPr>
            <w:tcW w:type="dxa" w:w="2268"/>
            <w:vAlign w:val="center"/>
          </w:tcPr>
          <w:p>
            <w:r/>
            <w:r>
              <w:rPr>
                <w:b w:val="0"/>
                <w:sz w:val="17"/>
              </w:rPr>
              <w:t>PWA / terminal Android</w:t>
            </w:r>
          </w:p>
        </w:tc>
        <w:tc>
          <w:tcPr>
            <w:tcW w:type="dxa" w:w="3402"/>
            <w:vAlign w:val="center"/>
          </w:tcPr>
          <w:p>
            <w:r/>
            <w:r>
              <w:rPr>
                <w:b w:val="0"/>
                <w:sz w:val="17"/>
              </w:rPr>
              <w:t>Installation mobile et usage terrain.</w:t>
            </w:r>
          </w:p>
        </w:tc>
        <w:tc>
          <w:tcPr>
            <w:tcW w:type="dxa" w:w="3969"/>
            <w:vAlign w:val="center"/>
          </w:tcPr>
          <w:p>
            <w:r/>
            <w:r>
              <w:rPr>
                <w:b w:val="0"/>
                <w:sz w:val="17"/>
              </w:rPr>
              <w:t>Cache PWA à gérer à chaque mise à jour critique.</w:t>
            </w:r>
          </w:p>
        </w:tc>
      </w:tr>
    </w:tbl>
    <w:p/>
    <w:p>
      <w:pPr>
        <w:pStyle w:val="Heading1"/>
      </w:pPr>
      <w:r>
        <w:t>3. Modèle de données et sécurité</w:t>
      </w:r>
    </w:p>
    <w:p>
      <w:r>
        <w:t>Les données sont organisées autour d’une logique multi-pharmacie. Chaque utilisateur dispose d’un profil, puis d’un rattachement actif à une ou plusieurs pharmacies via pharmacy_members. Les droits sont déterminés par le rôle du membre et par le statut Super Admin.</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35"/>
            <w:shd w:fill="1D4ED8"/>
            <w:vAlign w:val="center"/>
          </w:tcPr>
          <w:p>
            <w:r/>
            <w:r>
              <w:rPr>
                <w:b/>
                <w:color w:val="FFFFFF"/>
                <w:sz w:val="17"/>
              </w:rPr>
              <w:t>Table / Vue</w:t>
            </w:r>
          </w:p>
        </w:tc>
        <w:tc>
          <w:tcPr>
            <w:tcW w:type="dxa" w:w="6803"/>
            <w:shd w:fill="1D4ED8"/>
            <w:vAlign w:val="center"/>
          </w:tcPr>
          <w:p>
            <w:r/>
            <w:r>
              <w:rPr>
                <w:b/>
                <w:color w:val="FFFFFF"/>
                <w:sz w:val="17"/>
              </w:rPr>
              <w:t>Utilisation</w:t>
            </w:r>
          </w:p>
        </w:tc>
      </w:tr>
      <w:tr>
        <w:tc>
          <w:tcPr>
            <w:tcW w:type="dxa" w:w="2835"/>
            <w:vAlign w:val="center"/>
          </w:tcPr>
          <w:p>
            <w:r/>
            <w:r>
              <w:rPr>
                <w:b w:val="0"/>
                <w:sz w:val="17"/>
              </w:rPr>
              <w:t>profiles</w:t>
            </w:r>
          </w:p>
        </w:tc>
        <w:tc>
          <w:tcPr>
            <w:tcW w:type="dxa" w:w="6803"/>
            <w:vAlign w:val="center"/>
          </w:tcPr>
          <w:p>
            <w:r/>
            <w:r>
              <w:rPr>
                <w:b w:val="0"/>
                <w:sz w:val="17"/>
              </w:rPr>
              <w:t>Informations utilisateur : nom, téléphone, email, mot de passe temporaire.</w:t>
            </w:r>
          </w:p>
        </w:tc>
      </w:tr>
      <w:tr>
        <w:tc>
          <w:tcPr>
            <w:tcW w:type="dxa" w:w="2835"/>
            <w:vAlign w:val="center"/>
          </w:tcPr>
          <w:p>
            <w:r/>
            <w:r>
              <w:rPr>
                <w:b w:val="0"/>
                <w:sz w:val="17"/>
              </w:rPr>
              <w:t>pharmacies</w:t>
            </w:r>
          </w:p>
        </w:tc>
        <w:tc>
          <w:tcPr>
            <w:tcW w:type="dxa" w:w="6803"/>
            <w:vAlign w:val="center"/>
          </w:tcPr>
          <w:p>
            <w:r/>
            <w:r>
              <w:rPr>
                <w:b w:val="0"/>
                <w:sz w:val="17"/>
              </w:rPr>
              <w:t>Informations de chaque pharmacie : nom, ville, taux USD/CDF, logo, pied de facture.</w:t>
            </w:r>
          </w:p>
        </w:tc>
      </w:tr>
      <w:tr>
        <w:tc>
          <w:tcPr>
            <w:tcW w:type="dxa" w:w="2835"/>
            <w:vAlign w:val="center"/>
          </w:tcPr>
          <w:p>
            <w:r/>
            <w:r>
              <w:rPr>
                <w:b w:val="0"/>
                <w:sz w:val="17"/>
              </w:rPr>
              <w:t>pharmacy_members</w:t>
            </w:r>
          </w:p>
        </w:tc>
        <w:tc>
          <w:tcPr>
            <w:tcW w:type="dxa" w:w="6803"/>
            <w:vAlign w:val="center"/>
          </w:tcPr>
          <w:p>
            <w:r/>
            <w:r>
              <w:rPr>
                <w:b w:val="0"/>
                <w:sz w:val="17"/>
              </w:rPr>
              <w:t>Lien utilisateur-pharmacie, rôle et statut actif/inactif.</w:t>
            </w:r>
          </w:p>
        </w:tc>
      </w:tr>
      <w:tr>
        <w:tc>
          <w:tcPr>
            <w:tcW w:type="dxa" w:w="2835"/>
            <w:vAlign w:val="center"/>
          </w:tcPr>
          <w:p>
            <w:r/>
            <w:r>
              <w:rPr>
                <w:b w:val="0"/>
                <w:sz w:val="17"/>
              </w:rPr>
              <w:t>platform_admins</w:t>
            </w:r>
          </w:p>
        </w:tc>
        <w:tc>
          <w:tcPr>
            <w:tcW w:type="dxa" w:w="6803"/>
            <w:vAlign w:val="center"/>
          </w:tcPr>
          <w:p>
            <w:r/>
            <w:r>
              <w:rPr>
                <w:b w:val="0"/>
                <w:sz w:val="17"/>
              </w:rPr>
              <w:t>Liste des Super Admin autorisés.</w:t>
            </w:r>
          </w:p>
        </w:tc>
      </w:tr>
      <w:tr>
        <w:tc>
          <w:tcPr>
            <w:tcW w:type="dxa" w:w="2835"/>
            <w:vAlign w:val="center"/>
          </w:tcPr>
          <w:p>
            <w:r/>
            <w:r>
              <w:rPr>
                <w:b w:val="0"/>
                <w:sz w:val="17"/>
              </w:rPr>
              <w:t>national_products</w:t>
            </w:r>
          </w:p>
        </w:tc>
        <w:tc>
          <w:tcPr>
            <w:tcW w:type="dxa" w:w="6803"/>
            <w:vAlign w:val="center"/>
          </w:tcPr>
          <w:p>
            <w:r/>
            <w:r>
              <w:rPr>
                <w:b w:val="0"/>
                <w:sz w:val="17"/>
              </w:rPr>
              <w:t>Catalogue ACOREP 2026 importé par le Super Admin.</w:t>
            </w:r>
          </w:p>
        </w:tc>
      </w:tr>
      <w:tr>
        <w:tc>
          <w:tcPr>
            <w:tcW w:type="dxa" w:w="2835"/>
            <w:vAlign w:val="center"/>
          </w:tcPr>
          <w:p>
            <w:r/>
            <w:r>
              <w:rPr>
                <w:b w:val="0"/>
                <w:sz w:val="17"/>
              </w:rPr>
              <w:t>products</w:t>
            </w:r>
          </w:p>
        </w:tc>
        <w:tc>
          <w:tcPr>
            <w:tcW w:type="dxa" w:w="6803"/>
            <w:vAlign w:val="center"/>
          </w:tcPr>
          <w:p>
            <w:r/>
            <w:r>
              <w:rPr>
                <w:b w:val="0"/>
                <w:sz w:val="17"/>
              </w:rPr>
              <w:t>Produits propres à chaque pharmacie, liés ou non à un produit ACOREP.</w:t>
            </w:r>
          </w:p>
        </w:tc>
      </w:tr>
      <w:tr>
        <w:tc>
          <w:tcPr>
            <w:tcW w:type="dxa" w:w="2835"/>
            <w:vAlign w:val="center"/>
          </w:tcPr>
          <w:p>
            <w:r/>
            <w:r>
              <w:rPr>
                <w:b w:val="0"/>
                <w:sz w:val="17"/>
              </w:rPr>
              <w:t>product_batches</w:t>
            </w:r>
          </w:p>
        </w:tc>
        <w:tc>
          <w:tcPr>
            <w:tcW w:type="dxa" w:w="6803"/>
            <w:vAlign w:val="center"/>
          </w:tcPr>
          <w:p>
            <w:r/>
            <w:r>
              <w:rPr>
                <w:b w:val="0"/>
                <w:sz w:val="17"/>
              </w:rPr>
              <w:t>Lots, dates d’expiration, quantités disponibles, prix et fournisseur.</w:t>
            </w:r>
          </w:p>
        </w:tc>
      </w:tr>
      <w:tr>
        <w:tc>
          <w:tcPr>
            <w:tcW w:type="dxa" w:w="2835"/>
            <w:vAlign w:val="center"/>
          </w:tcPr>
          <w:p>
            <w:r/>
            <w:r>
              <w:rPr>
                <w:b w:val="0"/>
                <w:sz w:val="17"/>
              </w:rPr>
              <w:t>sales / sale_items</w:t>
            </w:r>
          </w:p>
        </w:tc>
        <w:tc>
          <w:tcPr>
            <w:tcW w:type="dxa" w:w="6803"/>
            <w:vAlign w:val="center"/>
          </w:tcPr>
          <w:p>
            <w:r/>
            <w:r>
              <w:rPr>
                <w:b w:val="0"/>
                <w:sz w:val="17"/>
              </w:rPr>
              <w:t>Ventes, lignes de vente, factures et marges.</w:t>
            </w:r>
          </w:p>
        </w:tc>
      </w:tr>
      <w:tr>
        <w:tc>
          <w:tcPr>
            <w:tcW w:type="dxa" w:w="2835"/>
            <w:vAlign w:val="center"/>
          </w:tcPr>
          <w:p>
            <w:r/>
            <w:r>
              <w:rPr>
                <w:b w:val="0"/>
                <w:sz w:val="17"/>
              </w:rPr>
              <w:t>v_product_stock</w:t>
            </w:r>
          </w:p>
        </w:tc>
        <w:tc>
          <w:tcPr>
            <w:tcW w:type="dxa" w:w="6803"/>
            <w:vAlign w:val="center"/>
          </w:tcPr>
          <w:p>
            <w:r/>
            <w:r>
              <w:rPr>
                <w:b w:val="0"/>
                <w:sz w:val="17"/>
              </w:rPr>
              <w:t>Vue de stock agrégé par produit.</w:t>
            </w:r>
          </w:p>
        </w:tc>
      </w:tr>
      <w:tr>
        <w:tc>
          <w:tcPr>
            <w:tcW w:type="dxa" w:w="2835"/>
            <w:vAlign w:val="center"/>
          </w:tcPr>
          <w:p>
            <w:r/>
            <w:r>
              <w:rPr>
                <w:b w:val="0"/>
                <w:sz w:val="17"/>
              </w:rPr>
              <w:t>v_expiration_alerts</w:t>
            </w:r>
          </w:p>
        </w:tc>
        <w:tc>
          <w:tcPr>
            <w:tcW w:type="dxa" w:w="6803"/>
            <w:vAlign w:val="center"/>
          </w:tcPr>
          <w:p>
            <w:r/>
            <w:r>
              <w:rPr>
                <w:b w:val="0"/>
                <w:sz w:val="17"/>
              </w:rPr>
              <w:t>Vue d’alerte sur les lots proches de l’expiration.</w:t>
            </w:r>
          </w:p>
        </w:tc>
      </w:tr>
    </w:tbl>
    <w:p/>
    <w:tbl>
      <w:tblPr>
        <w:tblW w:type="auto" w:w="0"/>
        <w:jc w:val="center"/>
        <w:tblLook w:firstColumn="1" w:firstRow="1" w:lastColumn="0" w:lastRow="0" w:noHBand="0" w:noVBand="1" w:val="04A0"/>
      </w:tblPr>
      <w:tblGrid>
        <w:gridCol w:w="10426"/>
      </w:tblGrid>
      <w:tr>
        <w:tc>
          <w:tcPr>
            <w:tcW w:type="dxa" w:w="10426"/>
            <w:shd w:fill="FEF3C7"/>
          </w:tcPr>
          <w:p>
            <w:r>
              <w:rPr>
                <w:b/>
                <w:color w:val="B45309"/>
                <w:sz w:val="20"/>
              </w:rPr>
              <w:t>Règle de sécurité</w:t>
              <w:br/>
            </w:r>
            <w:r>
              <w:rPr>
                <w:color w:val="0F172A"/>
                <w:sz w:val="18"/>
              </w:rPr>
              <w:t>Un propriétaire de pharmacie ne doit voir que les pharmacies auxquelles il est rattaché comme membre actif. Si un owner voit toutes les pharmacies, vérifier qu’il n’est pas actif dans platform_admins.</w:t>
            </w:r>
          </w:p>
        </w:tc>
      </w:tr>
    </w:tbl>
    <w:p/>
    <w:p>
      <w:pPr>
        <w:pStyle w:val="Heading1"/>
      </w:pPr>
      <w:r>
        <w:t>4. Configuration environnement et déploiement</w:t>
      </w:r>
    </w:p>
    <w:p>
      <w:r>
        <w:t>Les variables sensibles doivent rester dans les environnements locaux ou Vercel. Le fichier .env.local ne doit jamais être publié sur GitHub.</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02"/>
            <w:shd w:fill="1D4ED8"/>
            <w:vAlign w:val="center"/>
          </w:tcPr>
          <w:p>
            <w:r/>
            <w:r>
              <w:rPr>
                <w:b/>
                <w:color w:val="FFFFFF"/>
                <w:sz w:val="17"/>
              </w:rPr>
              <w:t>Variable</w:t>
            </w:r>
          </w:p>
        </w:tc>
        <w:tc>
          <w:tcPr>
            <w:tcW w:type="dxa" w:w="3969"/>
            <w:shd w:fill="1D4ED8"/>
            <w:vAlign w:val="center"/>
          </w:tcPr>
          <w:p>
            <w:r/>
            <w:r>
              <w:rPr>
                <w:b/>
                <w:color w:val="FFFFFF"/>
                <w:sz w:val="17"/>
              </w:rPr>
              <w:t>Usage</w:t>
            </w:r>
          </w:p>
        </w:tc>
        <w:tc>
          <w:tcPr>
            <w:tcW w:type="dxa" w:w="2268"/>
            <w:shd w:fill="1D4ED8"/>
            <w:vAlign w:val="center"/>
          </w:tcPr>
          <w:p>
            <w:r/>
            <w:r>
              <w:rPr>
                <w:b/>
                <w:color w:val="FFFFFF"/>
                <w:sz w:val="17"/>
              </w:rPr>
              <w:t>Exposition</w:t>
            </w:r>
          </w:p>
        </w:tc>
      </w:tr>
      <w:tr>
        <w:tc>
          <w:tcPr>
            <w:tcW w:type="dxa" w:w="3402"/>
            <w:vAlign w:val="center"/>
          </w:tcPr>
          <w:p>
            <w:r/>
            <w:r>
              <w:rPr>
                <w:b w:val="0"/>
                <w:sz w:val="17"/>
              </w:rPr>
              <w:t>NEXT_PUBLIC_SUPABASE_URL</w:t>
            </w:r>
          </w:p>
        </w:tc>
        <w:tc>
          <w:tcPr>
            <w:tcW w:type="dxa" w:w="3969"/>
            <w:vAlign w:val="center"/>
          </w:tcPr>
          <w:p>
            <w:r/>
            <w:r>
              <w:rPr>
                <w:b w:val="0"/>
                <w:sz w:val="17"/>
              </w:rPr>
              <w:t>URL Supabase du projet.</w:t>
            </w:r>
          </w:p>
        </w:tc>
        <w:tc>
          <w:tcPr>
            <w:tcW w:type="dxa" w:w="2268"/>
            <w:vAlign w:val="center"/>
          </w:tcPr>
          <w:p>
            <w:r/>
            <w:r>
              <w:rPr>
                <w:b w:val="0"/>
                <w:sz w:val="17"/>
              </w:rPr>
              <w:t>Client et serveur</w:t>
            </w:r>
          </w:p>
        </w:tc>
      </w:tr>
      <w:tr>
        <w:tc>
          <w:tcPr>
            <w:tcW w:type="dxa" w:w="3402"/>
            <w:vAlign w:val="center"/>
          </w:tcPr>
          <w:p>
            <w:r/>
            <w:r>
              <w:rPr>
                <w:b w:val="0"/>
                <w:sz w:val="17"/>
              </w:rPr>
              <w:t>NEXT_PUBLIC_SUPABASE_ANON_KEY</w:t>
            </w:r>
          </w:p>
        </w:tc>
        <w:tc>
          <w:tcPr>
            <w:tcW w:type="dxa" w:w="3969"/>
            <w:vAlign w:val="center"/>
          </w:tcPr>
          <w:p>
            <w:r/>
            <w:r>
              <w:rPr>
                <w:b w:val="0"/>
                <w:sz w:val="17"/>
              </w:rPr>
              <w:t>Clé publique utilisée par le client.</w:t>
            </w:r>
          </w:p>
        </w:tc>
        <w:tc>
          <w:tcPr>
            <w:tcW w:type="dxa" w:w="2268"/>
            <w:vAlign w:val="center"/>
          </w:tcPr>
          <w:p>
            <w:r/>
            <w:r>
              <w:rPr>
                <w:b w:val="0"/>
                <w:sz w:val="17"/>
              </w:rPr>
              <w:t>Client et serveur</w:t>
            </w:r>
          </w:p>
        </w:tc>
      </w:tr>
      <w:tr>
        <w:tc>
          <w:tcPr>
            <w:tcW w:type="dxa" w:w="3402"/>
            <w:vAlign w:val="center"/>
          </w:tcPr>
          <w:p>
            <w:r/>
            <w:r>
              <w:rPr>
                <w:b w:val="0"/>
                <w:sz w:val="17"/>
              </w:rPr>
              <w:t>SUPABASE_SERVICE_ROLE_KEY</w:t>
            </w:r>
          </w:p>
        </w:tc>
        <w:tc>
          <w:tcPr>
            <w:tcW w:type="dxa" w:w="3969"/>
            <w:vAlign w:val="center"/>
          </w:tcPr>
          <w:p>
            <w:r/>
            <w:r>
              <w:rPr>
                <w:b w:val="0"/>
                <w:sz w:val="17"/>
              </w:rPr>
              <w:t>Clé serveur pour actions admin API.</w:t>
            </w:r>
          </w:p>
        </w:tc>
        <w:tc>
          <w:tcPr>
            <w:tcW w:type="dxa" w:w="2268"/>
            <w:vAlign w:val="center"/>
          </w:tcPr>
          <w:p>
            <w:r/>
            <w:r>
              <w:rPr>
                <w:b w:val="0"/>
                <w:sz w:val="17"/>
              </w:rPr>
              <w:t>Serveur uniquement</w:t>
            </w:r>
          </w:p>
        </w:tc>
      </w:tr>
    </w:tbl>
    <w:p/>
    <w:p>
      <w:pPr>
        <w:pStyle w:val="Heading2"/>
      </w:pPr>
      <w:r>
        <w:t>Procédure de déploiement</w:t>
      </w:r>
    </w:p>
    <w:p>
      <w:pPr>
        <w:spacing w:after="40"/>
        <w:ind w:left="397" w:hanging="255"/>
      </w:pPr>
      <w:r>
        <w:rPr>
          <w:sz w:val="18"/>
        </w:rPr>
        <w:t>1.</w:t>
        <w:tab/>
        <w:t>Tester localement : npm run dev puis parcourir dashboard, produits, ventes, factures.</w:t>
      </w:r>
    </w:p>
    <w:p>
      <w:pPr>
        <w:spacing w:after="40"/>
        <w:ind w:left="397" w:hanging="255"/>
      </w:pPr>
      <w:r>
        <w:rPr>
          <w:sz w:val="18"/>
        </w:rPr>
        <w:t>2.</w:t>
        <w:tab/>
        <w:t>Lancer un build local si possible : npm run build.</w:t>
      </w:r>
    </w:p>
    <w:p>
      <w:pPr>
        <w:spacing w:after="40"/>
        <w:ind w:left="397" w:hanging="255"/>
      </w:pPr>
      <w:r>
        <w:rPr>
          <w:sz w:val="18"/>
        </w:rPr>
        <w:t>3.</w:t>
        <w:tab/>
        <w:t>Pousser les changements sur GitHub.</w:t>
      </w:r>
    </w:p>
    <w:p>
      <w:pPr>
        <w:spacing w:after="40"/>
        <w:ind w:left="397" w:hanging="255"/>
      </w:pPr>
      <w:r>
        <w:rPr>
          <w:sz w:val="18"/>
        </w:rPr>
        <w:t>4.</w:t>
        <w:tab/>
        <w:t>Vérifier le déploiement Vercel : statut Ready, aucun module-not-found.</w:t>
      </w:r>
    </w:p>
    <w:p>
      <w:pPr>
        <w:spacing w:after="40"/>
        <w:ind w:left="397" w:hanging="255"/>
      </w:pPr>
      <w:r>
        <w:rPr>
          <w:sz w:val="18"/>
        </w:rPr>
        <w:t>5.</w:t>
        <w:tab/>
        <w:t>Vider ou renouveler le cache PWA après changement critique.</w:t>
      </w:r>
    </w:p>
    <w:p>
      <w:pPr>
        <w:spacing w:after="40"/>
        <w:ind w:left="397" w:hanging="255"/>
      </w:pPr>
      <w:r>
        <w:rPr>
          <w:sz w:val="18"/>
        </w:rPr>
        <w:t>6.</w:t>
        <w:tab/>
        <w:t>Tester dans Chrome mobile avant de réinstaller la PWA.</w:t>
      </w:r>
    </w:p>
    <w:p>
      <w:pPr>
        <w:pStyle w:val="Heading1"/>
      </w:pPr>
      <w:r>
        <w:t>5. Gestion Super Admin</w:t>
      </w:r>
    </w:p>
    <w:p>
      <w:pPr>
        <w:pStyle w:val="ListBullet"/>
        <w:spacing w:after="40"/>
      </w:pPr>
      <w:r>
        <w:rPr>
          <w:sz w:val="18"/>
        </w:rPr>
        <w:t>Créer et gérer les pharmacies clientes.</w:t>
      </w:r>
    </w:p>
    <w:p>
      <w:pPr>
        <w:pStyle w:val="ListBullet"/>
        <w:spacing w:after="40"/>
      </w:pPr>
      <w:r>
        <w:rPr>
          <w:sz w:val="18"/>
        </w:rPr>
        <w:t>Créer le premier owner/responsable de chaque pharmacie.</w:t>
      </w:r>
    </w:p>
    <w:p>
      <w:pPr>
        <w:pStyle w:val="ListBullet"/>
        <w:spacing w:after="40"/>
      </w:pPr>
      <w:r>
        <w:rPr>
          <w:sz w:val="18"/>
        </w:rPr>
        <w:t>Accéder au catalogue ACOREP 2026.</w:t>
      </w:r>
    </w:p>
    <w:p>
      <w:pPr>
        <w:pStyle w:val="ListBullet"/>
        <w:spacing w:after="40"/>
      </w:pPr>
      <w:r>
        <w:rPr>
          <w:sz w:val="18"/>
        </w:rPr>
        <w:t>Importer ou remplacer le catalogue national de médicaments.</w:t>
      </w:r>
    </w:p>
    <w:p>
      <w:pPr>
        <w:pStyle w:val="ListBullet"/>
        <w:spacing w:after="40"/>
      </w:pPr>
      <w:r>
        <w:rPr>
          <w:sz w:val="18"/>
        </w:rPr>
        <w:t>Vérifier les utilisateurs et les rôles rattachés à chaque pharmacie.</w:t>
      </w:r>
    </w:p>
    <w:p>
      <w:pPr>
        <w:pStyle w:val="ListBullet"/>
        <w:spacing w:after="40"/>
      </w:pPr>
      <w:r>
        <w:rPr>
          <w:sz w:val="18"/>
        </w:rPr>
        <w:t>Réinitialiser des mots de passe temporaires si nécessaire.</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268"/>
            <w:shd w:fill="1D4ED8"/>
            <w:vAlign w:val="center"/>
          </w:tcPr>
          <w:p>
            <w:r/>
            <w:r>
              <w:rPr>
                <w:b/>
                <w:color w:val="FFFFFF"/>
                <w:sz w:val="17"/>
              </w:rPr>
              <w:t>Action</w:t>
            </w:r>
          </w:p>
        </w:tc>
        <w:tc>
          <w:tcPr>
            <w:tcW w:type="dxa" w:w="3402"/>
            <w:shd w:fill="1D4ED8"/>
            <w:vAlign w:val="center"/>
          </w:tcPr>
          <w:p>
            <w:r/>
            <w:r>
              <w:rPr>
                <w:b/>
                <w:color w:val="FFFFFF"/>
                <w:sz w:val="17"/>
              </w:rPr>
              <w:t>Chemin conseillé</w:t>
            </w:r>
          </w:p>
        </w:tc>
        <w:tc>
          <w:tcPr>
            <w:tcW w:type="dxa" w:w="3969"/>
            <w:shd w:fill="1D4ED8"/>
            <w:vAlign w:val="center"/>
          </w:tcPr>
          <w:p>
            <w:r/>
            <w:r>
              <w:rPr>
                <w:b/>
                <w:color w:val="FFFFFF"/>
                <w:sz w:val="17"/>
              </w:rPr>
              <w:t>Contrôle</w:t>
            </w:r>
          </w:p>
        </w:tc>
      </w:tr>
      <w:tr>
        <w:tc>
          <w:tcPr>
            <w:tcW w:type="dxa" w:w="2268"/>
            <w:vAlign w:val="center"/>
          </w:tcPr>
          <w:p>
            <w:r/>
            <w:r>
              <w:rPr>
                <w:b w:val="0"/>
                <w:sz w:val="17"/>
              </w:rPr>
              <w:t>Créer pharmacie</w:t>
            </w:r>
          </w:p>
        </w:tc>
        <w:tc>
          <w:tcPr>
            <w:tcW w:type="dxa" w:w="3402"/>
            <w:vAlign w:val="center"/>
          </w:tcPr>
          <w:p>
            <w:r/>
            <w:r>
              <w:rPr>
                <w:b w:val="0"/>
                <w:sz w:val="17"/>
              </w:rPr>
              <w:t>Super Admin &gt; Pharmacies</w:t>
            </w:r>
          </w:p>
        </w:tc>
        <w:tc>
          <w:tcPr>
            <w:tcW w:type="dxa" w:w="3969"/>
            <w:vAlign w:val="center"/>
          </w:tcPr>
          <w:p>
            <w:r/>
            <w:r>
              <w:rPr>
                <w:b w:val="0"/>
                <w:sz w:val="17"/>
              </w:rPr>
              <w:t>Nom, ville, téléphone, taux USD/CDF.</w:t>
            </w:r>
          </w:p>
        </w:tc>
      </w:tr>
      <w:tr>
        <w:tc>
          <w:tcPr>
            <w:tcW w:type="dxa" w:w="2268"/>
            <w:vAlign w:val="center"/>
          </w:tcPr>
          <w:p>
            <w:r/>
            <w:r>
              <w:rPr>
                <w:b w:val="0"/>
                <w:sz w:val="17"/>
              </w:rPr>
              <w:t>Créer owner</w:t>
            </w:r>
          </w:p>
        </w:tc>
        <w:tc>
          <w:tcPr>
            <w:tcW w:type="dxa" w:w="3402"/>
            <w:vAlign w:val="center"/>
          </w:tcPr>
          <w:p>
            <w:r/>
            <w:r>
              <w:rPr>
                <w:b w:val="0"/>
                <w:sz w:val="17"/>
              </w:rPr>
              <w:t>Dans la fiche pharmacie</w:t>
            </w:r>
          </w:p>
        </w:tc>
        <w:tc>
          <w:tcPr>
            <w:tcW w:type="dxa" w:w="3969"/>
            <w:vAlign w:val="center"/>
          </w:tcPr>
          <w:p>
            <w:r/>
            <w:r>
              <w:rPr>
                <w:b w:val="0"/>
                <w:sz w:val="17"/>
              </w:rPr>
              <w:t>Email unique, mot de passe temporaire.</w:t>
            </w:r>
          </w:p>
        </w:tc>
      </w:tr>
      <w:tr>
        <w:tc>
          <w:tcPr>
            <w:tcW w:type="dxa" w:w="2268"/>
            <w:vAlign w:val="center"/>
          </w:tcPr>
          <w:p>
            <w:r/>
            <w:r>
              <w:rPr>
                <w:b w:val="0"/>
                <w:sz w:val="17"/>
              </w:rPr>
              <w:t>Catalogue ACOREP</w:t>
            </w:r>
          </w:p>
        </w:tc>
        <w:tc>
          <w:tcPr>
            <w:tcW w:type="dxa" w:w="3402"/>
            <w:vAlign w:val="center"/>
          </w:tcPr>
          <w:p>
            <w:r/>
            <w:r>
              <w:rPr>
                <w:b w:val="0"/>
                <w:sz w:val="17"/>
              </w:rPr>
              <w:t>Super Admin &gt; Catalogue ACOREP 2026</w:t>
            </w:r>
          </w:p>
        </w:tc>
        <w:tc>
          <w:tcPr>
            <w:tcW w:type="dxa" w:w="3969"/>
            <w:vAlign w:val="center"/>
          </w:tcPr>
          <w:p>
            <w:r/>
            <w:r>
              <w:rPr>
                <w:b w:val="0"/>
                <w:sz w:val="17"/>
              </w:rPr>
              <w:t>Importer, filtrer, exporter.</w:t>
            </w:r>
          </w:p>
        </w:tc>
      </w:tr>
      <w:tr>
        <w:tc>
          <w:tcPr>
            <w:tcW w:type="dxa" w:w="2268"/>
            <w:vAlign w:val="center"/>
          </w:tcPr>
          <w:p>
            <w:r/>
            <w:r>
              <w:rPr>
                <w:b w:val="0"/>
                <w:sz w:val="17"/>
              </w:rPr>
              <w:t>Désactiver accès</w:t>
            </w:r>
          </w:p>
        </w:tc>
        <w:tc>
          <w:tcPr>
            <w:tcW w:type="dxa" w:w="3402"/>
            <w:vAlign w:val="center"/>
          </w:tcPr>
          <w:p>
            <w:r/>
            <w:r>
              <w:rPr>
                <w:b w:val="0"/>
                <w:sz w:val="17"/>
              </w:rPr>
              <w:t>Membres pharmacie</w:t>
            </w:r>
          </w:p>
        </w:tc>
        <w:tc>
          <w:tcPr>
            <w:tcW w:type="dxa" w:w="3969"/>
            <w:vAlign w:val="center"/>
          </w:tcPr>
          <w:p>
            <w:r/>
            <w:r>
              <w:rPr>
                <w:b w:val="0"/>
                <w:sz w:val="17"/>
              </w:rPr>
              <w:t>is_active = false.</w:t>
            </w:r>
          </w:p>
        </w:tc>
      </w:tr>
    </w:tbl>
    <w:p/>
    <w:p>
      <w:pPr>
        <w:pStyle w:val="Heading1"/>
      </w:pPr>
      <w:r>
        <w:t>6. Catalogue ACOREP 2026</w:t>
      </w:r>
    </w:p>
    <w:p>
      <w:r>
        <w:t>Le catalogue ACOREP 2026 remplace l’ancien catalogue LNME pour la sélection opérationnelle des produits. Il permet de rechercher par classe thérapeutique, forme pharmaceutique, conditionnement, cible, statut AMM, DCI, nom produit, fabricant, pays et numéro AMM.</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835"/>
            <w:shd w:fill="1D4ED8"/>
            <w:vAlign w:val="center"/>
          </w:tcPr>
          <w:p>
            <w:r/>
            <w:r>
              <w:rPr>
                <w:b/>
                <w:color w:val="FFFFFF"/>
                <w:sz w:val="17"/>
              </w:rPr>
              <w:t>Colonne ACOREP</w:t>
            </w:r>
          </w:p>
        </w:tc>
        <w:tc>
          <w:tcPr>
            <w:tcW w:type="dxa" w:w="2835"/>
            <w:shd w:fill="1D4ED8"/>
            <w:vAlign w:val="center"/>
          </w:tcPr>
          <w:p>
            <w:r/>
            <w:r>
              <w:rPr>
                <w:b/>
                <w:color w:val="FFFFFF"/>
                <w:sz w:val="17"/>
              </w:rPr>
              <w:t>Champ application</w:t>
            </w:r>
          </w:p>
        </w:tc>
        <w:tc>
          <w:tcPr>
            <w:tcW w:type="dxa" w:w="3969"/>
            <w:shd w:fill="1D4ED8"/>
            <w:vAlign w:val="center"/>
          </w:tcPr>
          <w:p>
            <w:r/>
            <w:r>
              <w:rPr>
                <w:b/>
                <w:color w:val="FFFFFF"/>
                <w:sz w:val="17"/>
              </w:rPr>
              <w:t>Utilisation</w:t>
            </w:r>
          </w:p>
        </w:tc>
      </w:tr>
      <w:tr>
        <w:tc>
          <w:tcPr>
            <w:tcW w:type="dxa" w:w="2835"/>
            <w:vAlign w:val="center"/>
          </w:tcPr>
          <w:p>
            <w:r/>
            <w:r>
              <w:rPr>
                <w:b w:val="0"/>
                <w:sz w:val="17"/>
              </w:rPr>
              <w:t>Classe thérapeutique</w:t>
            </w:r>
          </w:p>
        </w:tc>
        <w:tc>
          <w:tcPr>
            <w:tcW w:type="dxa" w:w="2835"/>
            <w:vAlign w:val="center"/>
          </w:tcPr>
          <w:p>
            <w:r/>
            <w:r>
              <w:rPr>
                <w:b w:val="0"/>
                <w:sz w:val="17"/>
              </w:rPr>
              <w:t>therapeutic_class / category_name</w:t>
            </w:r>
          </w:p>
        </w:tc>
        <w:tc>
          <w:tcPr>
            <w:tcW w:type="dxa" w:w="3969"/>
            <w:vAlign w:val="center"/>
          </w:tcPr>
          <w:p>
            <w:r/>
            <w:r>
              <w:rPr>
                <w:b w:val="0"/>
                <w:sz w:val="17"/>
              </w:rPr>
              <w:t>Filtre et information produit.</w:t>
            </w:r>
          </w:p>
        </w:tc>
      </w:tr>
      <w:tr>
        <w:tc>
          <w:tcPr>
            <w:tcW w:type="dxa" w:w="2835"/>
            <w:vAlign w:val="center"/>
          </w:tcPr>
          <w:p>
            <w:r/>
            <w:r>
              <w:rPr>
                <w:b w:val="0"/>
                <w:sz w:val="17"/>
              </w:rPr>
              <w:t>DCI</w:t>
            </w:r>
          </w:p>
        </w:tc>
        <w:tc>
          <w:tcPr>
            <w:tcW w:type="dxa" w:w="2835"/>
            <w:vAlign w:val="center"/>
          </w:tcPr>
          <w:p>
            <w:r/>
            <w:r>
              <w:rPr>
                <w:b w:val="0"/>
                <w:sz w:val="17"/>
              </w:rPr>
              <w:t>generic_name</w:t>
            </w:r>
          </w:p>
        </w:tc>
        <w:tc>
          <w:tcPr>
            <w:tcW w:type="dxa" w:w="3969"/>
            <w:vAlign w:val="center"/>
          </w:tcPr>
          <w:p>
            <w:r/>
            <w:r>
              <w:rPr>
                <w:b w:val="0"/>
                <w:sz w:val="17"/>
              </w:rPr>
              <w:t>Recherche et fiche produit.</w:t>
            </w:r>
          </w:p>
        </w:tc>
      </w:tr>
      <w:tr>
        <w:tc>
          <w:tcPr>
            <w:tcW w:type="dxa" w:w="2835"/>
            <w:vAlign w:val="center"/>
          </w:tcPr>
          <w:p>
            <w:r/>
            <w:r>
              <w:rPr>
                <w:b w:val="0"/>
                <w:sz w:val="17"/>
              </w:rPr>
              <w:t>Nom du produit</w:t>
            </w:r>
          </w:p>
        </w:tc>
        <w:tc>
          <w:tcPr>
            <w:tcW w:type="dxa" w:w="2835"/>
            <w:vAlign w:val="center"/>
          </w:tcPr>
          <w:p>
            <w:r/>
            <w:r>
              <w:rPr>
                <w:b w:val="0"/>
                <w:sz w:val="17"/>
              </w:rPr>
              <w:t>name</w:t>
            </w:r>
          </w:p>
        </w:tc>
        <w:tc>
          <w:tcPr>
            <w:tcW w:type="dxa" w:w="3969"/>
            <w:vAlign w:val="center"/>
          </w:tcPr>
          <w:p>
            <w:r/>
            <w:r>
              <w:rPr>
                <w:b w:val="0"/>
                <w:sz w:val="17"/>
              </w:rPr>
              <w:t>Nom commercial affiché.</w:t>
            </w:r>
          </w:p>
        </w:tc>
      </w:tr>
      <w:tr>
        <w:tc>
          <w:tcPr>
            <w:tcW w:type="dxa" w:w="2835"/>
            <w:vAlign w:val="center"/>
          </w:tcPr>
          <w:p>
            <w:r/>
            <w:r>
              <w:rPr>
                <w:b w:val="0"/>
                <w:sz w:val="17"/>
              </w:rPr>
              <w:t>Forme pharmaceutique</w:t>
            </w:r>
          </w:p>
        </w:tc>
        <w:tc>
          <w:tcPr>
            <w:tcW w:type="dxa" w:w="2835"/>
            <w:vAlign w:val="center"/>
          </w:tcPr>
          <w:p>
            <w:r/>
            <w:r>
              <w:rPr>
                <w:b w:val="0"/>
                <w:sz w:val="17"/>
              </w:rPr>
              <w:t>pharmaceutical_form / form</w:t>
            </w:r>
          </w:p>
        </w:tc>
        <w:tc>
          <w:tcPr>
            <w:tcW w:type="dxa" w:w="3969"/>
            <w:vAlign w:val="center"/>
          </w:tcPr>
          <w:p>
            <w:r/>
            <w:r>
              <w:rPr>
                <w:b w:val="0"/>
                <w:sz w:val="17"/>
              </w:rPr>
              <w:t>Filtre et fiche produit.</w:t>
            </w:r>
          </w:p>
        </w:tc>
      </w:tr>
      <w:tr>
        <w:tc>
          <w:tcPr>
            <w:tcW w:type="dxa" w:w="2835"/>
            <w:vAlign w:val="center"/>
          </w:tcPr>
          <w:p>
            <w:r/>
            <w:r>
              <w:rPr>
                <w:b w:val="0"/>
                <w:sz w:val="17"/>
              </w:rPr>
              <w:t>Conditionnement</w:t>
            </w:r>
          </w:p>
        </w:tc>
        <w:tc>
          <w:tcPr>
            <w:tcW w:type="dxa" w:w="2835"/>
            <w:vAlign w:val="center"/>
          </w:tcPr>
          <w:p>
            <w:r/>
            <w:r>
              <w:rPr>
                <w:b w:val="0"/>
                <w:sz w:val="17"/>
              </w:rPr>
              <w:t>packaging / unit</w:t>
            </w:r>
          </w:p>
        </w:tc>
        <w:tc>
          <w:tcPr>
            <w:tcW w:type="dxa" w:w="3969"/>
            <w:vAlign w:val="center"/>
          </w:tcPr>
          <w:p>
            <w:r/>
            <w:r>
              <w:rPr>
                <w:b w:val="0"/>
                <w:sz w:val="17"/>
              </w:rPr>
              <w:t>Unité de gestion par défaut.</w:t>
            </w:r>
          </w:p>
        </w:tc>
      </w:tr>
      <w:tr>
        <w:tc>
          <w:tcPr>
            <w:tcW w:type="dxa" w:w="2835"/>
            <w:vAlign w:val="center"/>
          </w:tcPr>
          <w:p>
            <w:r/>
            <w:r>
              <w:rPr>
                <w:b w:val="0"/>
                <w:sz w:val="17"/>
              </w:rPr>
              <w:t>Numéro AMM</w:t>
            </w:r>
          </w:p>
        </w:tc>
        <w:tc>
          <w:tcPr>
            <w:tcW w:type="dxa" w:w="2835"/>
            <w:vAlign w:val="center"/>
          </w:tcPr>
          <w:p>
            <w:r/>
            <w:r>
              <w:rPr>
                <w:b w:val="0"/>
                <w:sz w:val="17"/>
              </w:rPr>
              <w:t>amm_number / registration_number</w:t>
            </w:r>
          </w:p>
        </w:tc>
        <w:tc>
          <w:tcPr>
            <w:tcW w:type="dxa" w:w="3969"/>
            <w:vAlign w:val="center"/>
          </w:tcPr>
          <w:p>
            <w:r/>
            <w:r>
              <w:rPr>
                <w:b w:val="0"/>
                <w:sz w:val="17"/>
              </w:rPr>
              <w:t>Traçabilité réglementaire.</w:t>
            </w:r>
          </w:p>
        </w:tc>
      </w:tr>
      <w:tr>
        <w:tc>
          <w:tcPr>
            <w:tcW w:type="dxa" w:w="2835"/>
            <w:vAlign w:val="center"/>
          </w:tcPr>
          <w:p>
            <w:r/>
            <w:r>
              <w:rPr>
                <w:b w:val="0"/>
                <w:sz w:val="17"/>
              </w:rPr>
              <w:t>Statut AMM</w:t>
            </w:r>
          </w:p>
        </w:tc>
        <w:tc>
          <w:tcPr>
            <w:tcW w:type="dxa" w:w="2835"/>
            <w:vAlign w:val="center"/>
          </w:tcPr>
          <w:p>
            <w:r/>
            <w:r>
              <w:rPr>
                <w:b w:val="0"/>
                <w:sz w:val="17"/>
              </w:rPr>
              <w:t>amm_status</w:t>
            </w:r>
          </w:p>
        </w:tc>
        <w:tc>
          <w:tcPr>
            <w:tcW w:type="dxa" w:w="3969"/>
            <w:vAlign w:val="center"/>
          </w:tcPr>
          <w:p>
            <w:r/>
            <w:r>
              <w:rPr>
                <w:b w:val="0"/>
                <w:sz w:val="17"/>
              </w:rPr>
              <w:t>Valide par défaut côté pharmacie.</w:t>
            </w:r>
          </w:p>
        </w:tc>
      </w:tr>
      <w:tr>
        <w:tc>
          <w:tcPr>
            <w:tcW w:type="dxa" w:w="2835"/>
            <w:vAlign w:val="center"/>
          </w:tcPr>
          <w:p>
            <w:r/>
            <w:r>
              <w:rPr>
                <w:b w:val="0"/>
                <w:sz w:val="17"/>
              </w:rPr>
              <w:t>Cible</w:t>
            </w:r>
          </w:p>
        </w:tc>
        <w:tc>
          <w:tcPr>
            <w:tcW w:type="dxa" w:w="2835"/>
            <w:vAlign w:val="center"/>
          </w:tcPr>
          <w:p>
            <w:r/>
            <w:r>
              <w:rPr>
                <w:b w:val="0"/>
                <w:sz w:val="17"/>
              </w:rPr>
              <w:t>target</w:t>
            </w:r>
          </w:p>
        </w:tc>
        <w:tc>
          <w:tcPr>
            <w:tcW w:type="dxa" w:w="3969"/>
            <w:vAlign w:val="center"/>
          </w:tcPr>
          <w:p>
            <w:r/>
            <w:r>
              <w:rPr>
                <w:b w:val="0"/>
                <w:sz w:val="17"/>
              </w:rPr>
              <w:t>Filtre adultes/enfants/non classé.</w:t>
            </w:r>
          </w:p>
        </w:tc>
      </w:tr>
    </w:tbl>
    <w:p/>
    <w:tbl>
      <w:tblPr>
        <w:tblW w:type="auto" w:w="0"/>
        <w:jc w:val="center"/>
        <w:tblLook w:firstColumn="1" w:firstRow="1" w:lastColumn="0" w:lastRow="0" w:noHBand="0" w:noVBand="1" w:val="04A0"/>
      </w:tblPr>
      <w:tblGrid>
        <w:gridCol w:w="10426"/>
      </w:tblGrid>
      <w:tr>
        <w:tc>
          <w:tcPr>
            <w:tcW w:type="dxa" w:w="10426"/>
            <w:shd w:fill="DBEAFE"/>
          </w:tcPr>
          <w:p>
            <w:r>
              <w:rPr>
                <w:b/>
                <w:color w:val="1D4ED8"/>
                <w:sz w:val="20"/>
              </w:rPr>
              <w:t>Règle métier ACOREP</w:t>
              <w:br/>
            </w:r>
            <w:r>
              <w:rPr>
                <w:color w:val="0F172A"/>
                <w:sz w:val="18"/>
              </w:rPr>
              <w:t>Côté pharmacie, le statut AMM Valide doit être appliqué par défaut. Un produit expiré ne doit pas être sélectionnable dans l’ajout produit, sauf décision réglementaire future explicitement assumée.</w:t>
            </w:r>
          </w:p>
        </w:tc>
      </w:tr>
    </w:tbl>
    <w:p/>
    <w:p>
      <w:pPr>
        <w:pStyle w:val="Heading1"/>
      </w:pPr>
      <w:r>
        <w:t>7. Modules métiers et flux de données</w:t>
      </w:r>
    </w:p>
    <w:p>
      <w:pPr>
        <w:jc w:val="center"/>
      </w:pPr>
      <w:r>
        <w:drawing>
          <wp:inline xmlns:a="http://schemas.openxmlformats.org/drawingml/2006/main" xmlns:pic="http://schemas.openxmlformats.org/drawingml/2006/picture">
            <wp:extent cx="6035040" cy="3664131"/>
            <wp:docPr id="3" name="Picture 3"/>
            <wp:cNvGraphicFramePr>
              <a:graphicFrameLocks noChangeAspect="1"/>
            </wp:cNvGraphicFramePr>
            <a:graphic>
              <a:graphicData uri="http://schemas.openxmlformats.org/drawingml/2006/picture">
                <pic:pic>
                  <pic:nvPicPr>
                    <pic:cNvPr id="0" name="workflow_user.png"/>
                    <pic:cNvPicPr/>
                  </pic:nvPicPr>
                  <pic:blipFill>
                    <a:blip r:embed="rId13"/>
                    <a:stretch>
                      <a:fillRect/>
                    </a:stretch>
                  </pic:blipFill>
                  <pic:spPr>
                    <a:xfrm>
                      <a:off x="0" y="0"/>
                      <a:ext cx="6035040" cy="3664131"/>
                    </a:xfrm>
                    <a:prstGeom prst="rect"/>
                  </pic:spPr>
                </pic:pic>
              </a:graphicData>
            </a:graphic>
          </wp:inline>
        </w:drawing>
      </w:r>
    </w:p>
    <w:p>
      <w:pPr>
        <w:jc w:val="center"/>
      </w:pPr>
      <w:r>
        <w:rPr>
          <w:i/>
          <w:color w:val="64748B"/>
          <w:sz w:val="16"/>
        </w:rPr>
        <w:t>Flux métier principal : produit, stock, vente, facture, pilotage.</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268"/>
            <w:shd w:fill="1D4ED8"/>
            <w:vAlign w:val="center"/>
          </w:tcPr>
          <w:p>
            <w:r/>
            <w:r>
              <w:rPr>
                <w:b/>
                <w:color w:val="FFFFFF"/>
                <w:sz w:val="17"/>
              </w:rPr>
              <w:t>Module</w:t>
            </w:r>
          </w:p>
        </w:tc>
        <w:tc>
          <w:tcPr>
            <w:tcW w:type="dxa" w:w="3402"/>
            <w:shd w:fill="1D4ED8"/>
            <w:vAlign w:val="center"/>
          </w:tcPr>
          <w:p>
            <w:r/>
            <w:r>
              <w:rPr>
                <w:b/>
                <w:color w:val="FFFFFF"/>
                <w:sz w:val="17"/>
              </w:rPr>
              <w:t>Fonction principale</w:t>
            </w:r>
          </w:p>
        </w:tc>
        <w:tc>
          <w:tcPr>
            <w:tcW w:type="dxa" w:w="3969"/>
            <w:shd w:fill="1D4ED8"/>
            <w:vAlign w:val="center"/>
          </w:tcPr>
          <w:p>
            <w:r/>
            <w:r>
              <w:rPr>
                <w:b/>
                <w:color w:val="FFFFFF"/>
                <w:sz w:val="17"/>
              </w:rPr>
              <w:t>Données manipulées</w:t>
            </w:r>
          </w:p>
        </w:tc>
      </w:tr>
      <w:tr>
        <w:tc>
          <w:tcPr>
            <w:tcW w:type="dxa" w:w="2268"/>
            <w:vAlign w:val="center"/>
          </w:tcPr>
          <w:p>
            <w:r/>
            <w:r>
              <w:rPr>
                <w:b w:val="0"/>
                <w:sz w:val="17"/>
              </w:rPr>
              <w:t>Dashboard</w:t>
            </w:r>
          </w:p>
        </w:tc>
        <w:tc>
          <w:tcPr>
            <w:tcW w:type="dxa" w:w="3402"/>
            <w:vAlign w:val="center"/>
          </w:tcPr>
          <w:p>
            <w:r/>
            <w:r>
              <w:rPr>
                <w:b w:val="0"/>
                <w:sz w:val="17"/>
              </w:rPr>
              <w:t>Vue synthétique de l’activité.</w:t>
            </w:r>
          </w:p>
        </w:tc>
        <w:tc>
          <w:tcPr>
            <w:tcW w:type="dxa" w:w="3969"/>
            <w:vAlign w:val="center"/>
          </w:tcPr>
          <w:p>
            <w:r/>
            <w:r>
              <w:rPr>
                <w:b w:val="0"/>
                <w:sz w:val="17"/>
              </w:rPr>
              <w:t>Produits actifs, stock total, alertes.</w:t>
            </w:r>
          </w:p>
        </w:tc>
      </w:tr>
      <w:tr>
        <w:tc>
          <w:tcPr>
            <w:tcW w:type="dxa" w:w="2268"/>
            <w:vAlign w:val="center"/>
          </w:tcPr>
          <w:p>
            <w:r/>
            <w:r>
              <w:rPr>
                <w:b w:val="0"/>
                <w:sz w:val="17"/>
              </w:rPr>
              <w:t>Produits</w:t>
            </w:r>
          </w:p>
        </w:tc>
        <w:tc>
          <w:tcPr>
            <w:tcW w:type="dxa" w:w="3402"/>
            <w:vAlign w:val="center"/>
          </w:tcPr>
          <w:p>
            <w:r/>
            <w:r>
              <w:rPr>
                <w:b w:val="0"/>
                <w:sz w:val="17"/>
              </w:rPr>
              <w:t>Création produit depuis ACOREP ou ajout manuel.</w:t>
            </w:r>
          </w:p>
        </w:tc>
        <w:tc>
          <w:tcPr>
            <w:tcW w:type="dxa" w:w="3969"/>
            <w:vAlign w:val="center"/>
          </w:tcPr>
          <w:p>
            <w:r/>
            <w:r>
              <w:rPr>
                <w:b w:val="0"/>
                <w:sz w:val="17"/>
              </w:rPr>
              <w:t>products + product_batches.</w:t>
            </w:r>
          </w:p>
        </w:tc>
      </w:tr>
      <w:tr>
        <w:tc>
          <w:tcPr>
            <w:tcW w:type="dxa" w:w="2268"/>
            <w:vAlign w:val="center"/>
          </w:tcPr>
          <w:p>
            <w:r/>
            <w:r>
              <w:rPr>
                <w:b w:val="0"/>
                <w:sz w:val="17"/>
              </w:rPr>
              <w:t>Stock</w:t>
            </w:r>
          </w:p>
        </w:tc>
        <w:tc>
          <w:tcPr>
            <w:tcW w:type="dxa" w:w="3402"/>
            <w:vAlign w:val="center"/>
          </w:tcPr>
          <w:p>
            <w:r/>
            <w:r>
              <w:rPr>
                <w:b w:val="0"/>
                <w:sz w:val="17"/>
              </w:rPr>
              <w:t>Suivi lots et mouvements.</w:t>
            </w:r>
          </w:p>
        </w:tc>
        <w:tc>
          <w:tcPr>
            <w:tcW w:type="dxa" w:w="3969"/>
            <w:vAlign w:val="center"/>
          </w:tcPr>
          <w:p>
            <w:r/>
            <w:r>
              <w:rPr>
                <w:b w:val="0"/>
                <w:sz w:val="17"/>
              </w:rPr>
              <w:t>product_batches, stock_movements.</w:t>
            </w:r>
          </w:p>
        </w:tc>
      </w:tr>
      <w:tr>
        <w:tc>
          <w:tcPr>
            <w:tcW w:type="dxa" w:w="2268"/>
            <w:vAlign w:val="center"/>
          </w:tcPr>
          <w:p>
            <w:r/>
            <w:r>
              <w:rPr>
                <w:b w:val="0"/>
                <w:sz w:val="17"/>
              </w:rPr>
              <w:t>Ventes</w:t>
            </w:r>
          </w:p>
        </w:tc>
        <w:tc>
          <w:tcPr>
            <w:tcW w:type="dxa" w:w="3402"/>
            <w:vAlign w:val="center"/>
          </w:tcPr>
          <w:p>
            <w:r/>
            <w:r>
              <w:rPr>
                <w:b w:val="0"/>
                <w:sz w:val="17"/>
              </w:rPr>
              <w:t>Vente FEFO, paiement, facture.</w:t>
            </w:r>
          </w:p>
        </w:tc>
        <w:tc>
          <w:tcPr>
            <w:tcW w:type="dxa" w:w="3969"/>
            <w:vAlign w:val="center"/>
          </w:tcPr>
          <w:p>
            <w:r/>
            <w:r>
              <w:rPr>
                <w:b w:val="0"/>
                <w:sz w:val="17"/>
              </w:rPr>
              <w:t>sales, sale_items.</w:t>
            </w:r>
          </w:p>
        </w:tc>
      </w:tr>
      <w:tr>
        <w:tc>
          <w:tcPr>
            <w:tcW w:type="dxa" w:w="2268"/>
            <w:vAlign w:val="center"/>
          </w:tcPr>
          <w:p>
            <w:r/>
            <w:r>
              <w:rPr>
                <w:b w:val="0"/>
                <w:sz w:val="17"/>
              </w:rPr>
              <w:t>Factures</w:t>
            </w:r>
          </w:p>
        </w:tc>
        <w:tc>
          <w:tcPr>
            <w:tcW w:type="dxa" w:w="3402"/>
            <w:vAlign w:val="center"/>
          </w:tcPr>
          <w:p>
            <w:r/>
            <w:r>
              <w:rPr>
                <w:b w:val="0"/>
                <w:sz w:val="17"/>
              </w:rPr>
              <w:t>Historique et impression.</w:t>
            </w:r>
          </w:p>
        </w:tc>
        <w:tc>
          <w:tcPr>
            <w:tcW w:type="dxa" w:w="3969"/>
            <w:vAlign w:val="center"/>
          </w:tcPr>
          <w:p>
            <w:r/>
            <w:r>
              <w:rPr>
                <w:b w:val="0"/>
                <w:sz w:val="17"/>
              </w:rPr>
              <w:t>sales.</w:t>
            </w:r>
          </w:p>
        </w:tc>
      </w:tr>
      <w:tr>
        <w:tc>
          <w:tcPr>
            <w:tcW w:type="dxa" w:w="2268"/>
            <w:vAlign w:val="center"/>
          </w:tcPr>
          <w:p>
            <w:r/>
            <w:r>
              <w:rPr>
                <w:b w:val="0"/>
                <w:sz w:val="17"/>
              </w:rPr>
              <w:t>Expirations</w:t>
            </w:r>
          </w:p>
        </w:tc>
        <w:tc>
          <w:tcPr>
            <w:tcW w:type="dxa" w:w="3402"/>
            <w:vAlign w:val="center"/>
          </w:tcPr>
          <w:p>
            <w:r/>
            <w:r>
              <w:rPr>
                <w:b w:val="0"/>
                <w:sz w:val="17"/>
              </w:rPr>
              <w:t>Alertes de lots proches expiration.</w:t>
            </w:r>
          </w:p>
        </w:tc>
        <w:tc>
          <w:tcPr>
            <w:tcW w:type="dxa" w:w="3969"/>
            <w:vAlign w:val="center"/>
          </w:tcPr>
          <w:p>
            <w:r/>
            <w:r>
              <w:rPr>
                <w:b w:val="0"/>
                <w:sz w:val="17"/>
              </w:rPr>
              <w:t>v_expiration_alerts.</w:t>
            </w:r>
          </w:p>
        </w:tc>
      </w:tr>
      <w:tr>
        <w:tc>
          <w:tcPr>
            <w:tcW w:type="dxa" w:w="2268"/>
            <w:vAlign w:val="center"/>
          </w:tcPr>
          <w:p>
            <w:r/>
            <w:r>
              <w:rPr>
                <w:b w:val="0"/>
                <w:sz w:val="17"/>
              </w:rPr>
              <w:t>Finances</w:t>
            </w:r>
          </w:p>
        </w:tc>
        <w:tc>
          <w:tcPr>
            <w:tcW w:type="dxa" w:w="3402"/>
            <w:vAlign w:val="center"/>
          </w:tcPr>
          <w:p>
            <w:r/>
            <w:r>
              <w:rPr>
                <w:b w:val="0"/>
                <w:sz w:val="17"/>
              </w:rPr>
              <w:t>Suivi marges, dépenses, indicateurs.</w:t>
            </w:r>
          </w:p>
        </w:tc>
        <w:tc>
          <w:tcPr>
            <w:tcW w:type="dxa" w:w="3969"/>
            <w:vAlign w:val="center"/>
          </w:tcPr>
          <w:p>
            <w:r/>
            <w:r>
              <w:rPr>
                <w:b w:val="0"/>
                <w:sz w:val="17"/>
              </w:rPr>
              <w:t>sales, expenses.</w:t>
            </w:r>
          </w:p>
        </w:tc>
      </w:tr>
    </w:tbl>
    <w:p/>
    <w:p>
      <w:pPr>
        <w:pStyle w:val="Heading1"/>
      </w:pPr>
      <w:r>
        <w:t>8. PWA, terminal Android et impression</w:t>
      </w:r>
    </w:p>
    <w:p>
      <w:pPr>
        <w:jc w:val="center"/>
      </w:pPr>
      <w:r>
        <w:drawing>
          <wp:inline xmlns:a="http://schemas.openxmlformats.org/drawingml/2006/main" xmlns:pic="http://schemas.openxmlformats.org/drawingml/2006/picture">
            <wp:extent cx="2286000" cy="2286000"/>
            <wp:docPr id="4" name="Picture 4"/>
            <wp:cNvGraphicFramePr>
              <a:graphicFrameLocks noChangeAspect="1"/>
            </wp:cNvGraphicFramePr>
            <a:graphic>
              <a:graphicData uri="http://schemas.openxmlformats.org/drawingml/2006/picture">
                <pic:pic>
                  <pic:nvPicPr>
                    <pic:cNvPr id="0" name="termin.jpeg"/>
                    <pic:cNvPicPr/>
                  </pic:nvPicPr>
                  <pic:blipFill>
                    <a:blip r:embed="rId14"/>
                    <a:stretch>
                      <a:fillRect/>
                    </a:stretch>
                  </pic:blipFill>
                  <pic:spPr>
                    <a:xfrm>
                      <a:off x="0" y="0"/>
                      <a:ext cx="2286000" cy="2286000"/>
                    </a:xfrm>
                    <a:prstGeom prst="rect"/>
                  </pic:spPr>
                </pic:pic>
              </a:graphicData>
            </a:graphic>
          </wp:inline>
        </w:drawing>
      </w:r>
    </w:p>
    <w:p>
      <w:pPr>
        <w:jc w:val="center"/>
      </w:pPr>
      <w:r>
        <w:rPr>
          <w:i/>
          <w:color w:val="64748B"/>
          <w:sz w:val="16"/>
        </w:rPr>
        <w:t>Terminal Android avec imprimante thermique intégrée : cible matérielle recommandée pour le pilote.</w:t>
      </w:r>
    </w:p>
    <w:p>
      <w:pPr>
        <w:pStyle w:val="ListBullet"/>
        <w:spacing w:after="40"/>
      </w:pPr>
      <w:r>
        <w:rPr>
          <w:sz w:val="18"/>
        </w:rPr>
        <w:t>Installer la PWA depuis Chrome ou navigateur compatible.</w:t>
      </w:r>
    </w:p>
    <w:p>
      <w:pPr>
        <w:pStyle w:val="ListBullet"/>
        <w:spacing w:after="40"/>
      </w:pPr>
      <w:r>
        <w:rPr>
          <w:sz w:val="18"/>
        </w:rPr>
        <w:t>Tester la connexion 4G/Wi-Fi et la stabilité pendant une journée complète.</w:t>
      </w:r>
    </w:p>
    <w:p>
      <w:pPr>
        <w:pStyle w:val="ListBullet"/>
        <w:spacing w:after="40"/>
      </w:pPr>
      <w:r>
        <w:rPr>
          <w:sz w:val="18"/>
        </w:rPr>
        <w:t>Vérifier le format des tickets/factures sur imprimante thermique 58 mm ou 80 mm.</w:t>
      </w:r>
    </w:p>
    <w:p>
      <w:pPr>
        <w:pStyle w:val="ListBullet"/>
        <w:spacing w:after="40"/>
      </w:pPr>
      <w:r>
        <w:rPr>
          <w:sz w:val="18"/>
        </w:rPr>
        <w:t>En cas d’impression limitée depuis PWA, prévoir une version APK via Capacitor et SDK fabricant.</w:t>
      </w:r>
    </w:p>
    <w:p>
      <w:pPr>
        <w:pStyle w:val="ListBullet"/>
        <w:spacing w:after="40"/>
      </w:pPr>
      <w:r>
        <w:rPr>
          <w:sz w:val="18"/>
        </w:rPr>
        <w:t>Prévoir une procédure de vidage cache PWA après mise à jour majeure.</w:t>
      </w:r>
    </w:p>
    <w:p>
      <w:pPr>
        <w:pStyle w:val="Heading1"/>
      </w:pPr>
      <w:r>
        <w:t>9. Maintenance, sauvegarde et support</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969"/>
            <w:shd w:fill="1D4ED8"/>
            <w:vAlign w:val="center"/>
          </w:tcPr>
          <w:p>
            <w:r/>
            <w:r>
              <w:rPr>
                <w:b/>
                <w:color w:val="FFFFFF"/>
                <w:sz w:val="17"/>
              </w:rPr>
              <w:t>Rituel</w:t>
            </w:r>
          </w:p>
        </w:tc>
        <w:tc>
          <w:tcPr>
            <w:tcW w:type="dxa" w:w="2835"/>
            <w:shd w:fill="1D4ED8"/>
            <w:vAlign w:val="center"/>
          </w:tcPr>
          <w:p>
            <w:r/>
            <w:r>
              <w:rPr>
                <w:b/>
                <w:color w:val="FFFFFF"/>
                <w:sz w:val="17"/>
              </w:rPr>
              <w:t>Fréquence</w:t>
            </w:r>
          </w:p>
        </w:tc>
        <w:tc>
          <w:tcPr>
            <w:tcW w:type="dxa" w:w="2835"/>
            <w:shd w:fill="1D4ED8"/>
            <w:vAlign w:val="center"/>
          </w:tcPr>
          <w:p>
            <w:r/>
            <w:r>
              <w:rPr>
                <w:b/>
                <w:color w:val="FFFFFF"/>
                <w:sz w:val="17"/>
              </w:rPr>
              <w:t>Responsable</w:t>
            </w:r>
          </w:p>
        </w:tc>
      </w:tr>
      <w:tr>
        <w:tc>
          <w:tcPr>
            <w:tcW w:type="dxa" w:w="3969"/>
            <w:vAlign w:val="center"/>
          </w:tcPr>
          <w:p>
            <w:r/>
            <w:r>
              <w:rPr>
                <w:b w:val="0"/>
                <w:sz w:val="17"/>
              </w:rPr>
              <w:t>Vérifier déploiement Vercel</w:t>
            </w:r>
          </w:p>
        </w:tc>
        <w:tc>
          <w:tcPr>
            <w:tcW w:type="dxa" w:w="2835"/>
            <w:vAlign w:val="center"/>
          </w:tcPr>
          <w:p>
            <w:r/>
            <w:r>
              <w:rPr>
                <w:b w:val="0"/>
                <w:sz w:val="17"/>
              </w:rPr>
              <w:t>À chaque release</w:t>
            </w:r>
          </w:p>
        </w:tc>
        <w:tc>
          <w:tcPr>
            <w:tcW w:type="dxa" w:w="2835"/>
            <w:vAlign w:val="center"/>
          </w:tcPr>
          <w:p>
            <w:r/>
            <w:r>
              <w:rPr>
                <w:b w:val="0"/>
                <w:sz w:val="17"/>
              </w:rPr>
              <w:t>Admin technique</w:t>
            </w:r>
          </w:p>
        </w:tc>
      </w:tr>
      <w:tr>
        <w:tc>
          <w:tcPr>
            <w:tcW w:type="dxa" w:w="3969"/>
            <w:vAlign w:val="center"/>
          </w:tcPr>
          <w:p>
            <w:r/>
            <w:r>
              <w:rPr>
                <w:b w:val="0"/>
                <w:sz w:val="17"/>
              </w:rPr>
              <w:t>Sauvegarde base Supabase</w:t>
            </w:r>
          </w:p>
        </w:tc>
        <w:tc>
          <w:tcPr>
            <w:tcW w:type="dxa" w:w="2835"/>
            <w:vAlign w:val="center"/>
          </w:tcPr>
          <w:p>
            <w:r/>
            <w:r>
              <w:rPr>
                <w:b w:val="0"/>
                <w:sz w:val="17"/>
              </w:rPr>
              <w:t>Hebdomadaire au minimum</w:t>
            </w:r>
          </w:p>
        </w:tc>
        <w:tc>
          <w:tcPr>
            <w:tcW w:type="dxa" w:w="2835"/>
            <w:vAlign w:val="center"/>
          </w:tcPr>
          <w:p>
            <w:r/>
            <w:r>
              <w:rPr>
                <w:b w:val="0"/>
                <w:sz w:val="17"/>
              </w:rPr>
              <w:t>Admin technique</w:t>
            </w:r>
          </w:p>
        </w:tc>
      </w:tr>
      <w:tr>
        <w:tc>
          <w:tcPr>
            <w:tcW w:type="dxa" w:w="3969"/>
            <w:vAlign w:val="center"/>
          </w:tcPr>
          <w:p>
            <w:r/>
            <w:r>
              <w:rPr>
                <w:b w:val="0"/>
                <w:sz w:val="17"/>
              </w:rPr>
              <w:t>Contrôle des erreurs utilisateurs</w:t>
            </w:r>
          </w:p>
        </w:tc>
        <w:tc>
          <w:tcPr>
            <w:tcW w:type="dxa" w:w="2835"/>
            <w:vAlign w:val="center"/>
          </w:tcPr>
          <w:p>
            <w:r/>
            <w:r>
              <w:rPr>
                <w:b w:val="0"/>
                <w:sz w:val="17"/>
              </w:rPr>
              <w:t>Quotidien en pilote</w:t>
            </w:r>
          </w:p>
        </w:tc>
        <w:tc>
          <w:tcPr>
            <w:tcW w:type="dxa" w:w="2835"/>
            <w:vAlign w:val="center"/>
          </w:tcPr>
          <w:p>
            <w:r/>
            <w:r>
              <w:rPr>
                <w:b w:val="0"/>
                <w:sz w:val="17"/>
              </w:rPr>
              <w:t>Support</w:t>
            </w:r>
          </w:p>
        </w:tc>
      </w:tr>
      <w:tr>
        <w:tc>
          <w:tcPr>
            <w:tcW w:type="dxa" w:w="3969"/>
            <w:vAlign w:val="center"/>
          </w:tcPr>
          <w:p>
            <w:r/>
            <w:r>
              <w:rPr>
                <w:b w:val="0"/>
                <w:sz w:val="17"/>
              </w:rPr>
              <w:t>Vérification tickets/factures</w:t>
            </w:r>
          </w:p>
        </w:tc>
        <w:tc>
          <w:tcPr>
            <w:tcW w:type="dxa" w:w="2835"/>
            <w:vAlign w:val="center"/>
          </w:tcPr>
          <w:p>
            <w:r/>
            <w:r>
              <w:rPr>
                <w:b w:val="0"/>
                <w:sz w:val="17"/>
              </w:rPr>
              <w:t>Pendant pilote</w:t>
            </w:r>
          </w:p>
        </w:tc>
        <w:tc>
          <w:tcPr>
            <w:tcW w:type="dxa" w:w="2835"/>
            <w:vAlign w:val="center"/>
          </w:tcPr>
          <w:p>
            <w:r/>
            <w:r>
              <w:rPr>
                <w:b w:val="0"/>
                <w:sz w:val="17"/>
              </w:rPr>
              <w:t>Support terrain</w:t>
            </w:r>
          </w:p>
        </w:tc>
      </w:tr>
      <w:tr>
        <w:tc>
          <w:tcPr>
            <w:tcW w:type="dxa" w:w="3969"/>
            <w:vAlign w:val="center"/>
          </w:tcPr>
          <w:p>
            <w:r/>
            <w:r>
              <w:rPr>
                <w:b w:val="0"/>
                <w:sz w:val="17"/>
              </w:rPr>
              <w:t>Mise à jour catalogue ACOREP</w:t>
            </w:r>
          </w:p>
        </w:tc>
        <w:tc>
          <w:tcPr>
            <w:tcW w:type="dxa" w:w="2835"/>
            <w:vAlign w:val="center"/>
          </w:tcPr>
          <w:p>
            <w:r/>
            <w:r>
              <w:rPr>
                <w:b w:val="0"/>
                <w:sz w:val="17"/>
              </w:rPr>
              <w:t>Selon publication officielle</w:t>
            </w:r>
          </w:p>
        </w:tc>
        <w:tc>
          <w:tcPr>
            <w:tcW w:type="dxa" w:w="2835"/>
            <w:vAlign w:val="center"/>
          </w:tcPr>
          <w:p>
            <w:r/>
            <w:r>
              <w:rPr>
                <w:b w:val="0"/>
                <w:sz w:val="17"/>
              </w:rPr>
              <w:t>Super Admin</w:t>
            </w:r>
          </w:p>
        </w:tc>
      </w:tr>
      <w:tr>
        <w:tc>
          <w:tcPr>
            <w:tcW w:type="dxa" w:w="3969"/>
            <w:vAlign w:val="center"/>
          </w:tcPr>
          <w:p>
            <w:r/>
            <w:r>
              <w:rPr>
                <w:b w:val="0"/>
                <w:sz w:val="17"/>
              </w:rPr>
              <w:t>Revue des accès utilisateurs</w:t>
            </w:r>
          </w:p>
        </w:tc>
        <w:tc>
          <w:tcPr>
            <w:tcW w:type="dxa" w:w="2835"/>
            <w:vAlign w:val="center"/>
          </w:tcPr>
          <w:p>
            <w:r/>
            <w:r>
              <w:rPr>
                <w:b w:val="0"/>
                <w:sz w:val="17"/>
              </w:rPr>
              <w:t>Mensuelle</w:t>
            </w:r>
          </w:p>
        </w:tc>
        <w:tc>
          <w:tcPr>
            <w:tcW w:type="dxa" w:w="2835"/>
            <w:vAlign w:val="center"/>
          </w:tcPr>
          <w:p>
            <w:r/>
            <w:r>
              <w:rPr>
                <w:b w:val="0"/>
                <w:sz w:val="17"/>
              </w:rPr>
              <w:t>Owner + Super Admin</w:t>
            </w:r>
          </w:p>
        </w:tc>
      </w:tr>
    </w:tbl>
    <w:p/>
    <w:p>
      <w:pPr>
        <w:pStyle w:val="Heading1"/>
      </w:pPr>
      <w:r>
        <w:t>10. Checklist production et recette technique</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102"/>
            <w:shd w:fill="1D4ED8"/>
            <w:vAlign w:val="center"/>
          </w:tcPr>
          <w:p>
            <w:r/>
            <w:r>
              <w:rPr>
                <w:b/>
                <w:color w:val="FFFFFF"/>
                <w:sz w:val="17"/>
              </w:rPr>
              <w:t>Contrôle</w:t>
            </w:r>
          </w:p>
        </w:tc>
        <w:tc>
          <w:tcPr>
            <w:tcW w:type="dxa" w:w="4535"/>
            <w:shd w:fill="1D4ED8"/>
            <w:vAlign w:val="center"/>
          </w:tcPr>
          <w:p>
            <w:r/>
            <w:r>
              <w:rPr>
                <w:b/>
                <w:color w:val="FFFFFF"/>
                <w:sz w:val="17"/>
              </w:rPr>
              <w:t>Statut attendu</w:t>
            </w:r>
          </w:p>
        </w:tc>
      </w:tr>
      <w:tr>
        <w:tc>
          <w:tcPr>
            <w:tcW w:type="dxa" w:w="5102"/>
            <w:vAlign w:val="center"/>
          </w:tcPr>
          <w:p>
            <w:r/>
            <w:r>
              <w:rPr>
                <w:b w:val="0"/>
                <w:sz w:val="17"/>
              </w:rPr>
              <w:t>Connexion owner, manager, stock_manager, cashier, accountant</w:t>
            </w:r>
          </w:p>
        </w:tc>
        <w:tc>
          <w:tcPr>
            <w:tcW w:type="dxa" w:w="4535"/>
            <w:vAlign w:val="center"/>
          </w:tcPr>
          <w:p>
            <w:r/>
            <w:r>
              <w:rPr>
                <w:b w:val="0"/>
                <w:sz w:val="17"/>
              </w:rPr>
              <w:t>Chaque rôle voit uniquement ses modules.</w:t>
            </w:r>
          </w:p>
        </w:tc>
      </w:tr>
      <w:tr>
        <w:tc>
          <w:tcPr>
            <w:tcW w:type="dxa" w:w="5102"/>
            <w:vAlign w:val="center"/>
          </w:tcPr>
          <w:p>
            <w:r/>
            <w:r>
              <w:rPr>
                <w:b w:val="0"/>
                <w:sz w:val="17"/>
              </w:rPr>
              <w:t>Owner ne voit pas les pharmacies non rattachées</w:t>
            </w:r>
          </w:p>
        </w:tc>
        <w:tc>
          <w:tcPr>
            <w:tcW w:type="dxa" w:w="4535"/>
            <w:vAlign w:val="center"/>
          </w:tcPr>
          <w:p>
            <w:r/>
            <w:r>
              <w:rPr>
                <w:b w:val="0"/>
                <w:sz w:val="17"/>
              </w:rPr>
              <w:t>Obligatoire.</w:t>
            </w:r>
          </w:p>
        </w:tc>
      </w:tr>
      <w:tr>
        <w:tc>
          <w:tcPr>
            <w:tcW w:type="dxa" w:w="5102"/>
            <w:vAlign w:val="center"/>
          </w:tcPr>
          <w:p>
            <w:r/>
            <w:r>
              <w:rPr>
                <w:b w:val="0"/>
                <w:sz w:val="17"/>
              </w:rPr>
              <w:t>Catalogue ACOREP filtrable</w:t>
            </w:r>
          </w:p>
        </w:tc>
        <w:tc>
          <w:tcPr>
            <w:tcW w:type="dxa" w:w="4535"/>
            <w:vAlign w:val="center"/>
          </w:tcPr>
          <w:p>
            <w:r/>
            <w:r>
              <w:rPr>
                <w:b w:val="0"/>
                <w:sz w:val="17"/>
              </w:rPr>
              <w:t>Classe, forme, conditionnement, cible, statut AMM.</w:t>
            </w:r>
          </w:p>
        </w:tc>
      </w:tr>
      <w:tr>
        <w:tc>
          <w:tcPr>
            <w:tcW w:type="dxa" w:w="5102"/>
            <w:vAlign w:val="center"/>
          </w:tcPr>
          <w:p>
            <w:r/>
            <w:r>
              <w:rPr>
                <w:b w:val="0"/>
                <w:sz w:val="17"/>
              </w:rPr>
              <w:t>Ajout produit ACOREP valide</w:t>
            </w:r>
          </w:p>
        </w:tc>
        <w:tc>
          <w:tcPr>
            <w:tcW w:type="dxa" w:w="4535"/>
            <w:vAlign w:val="center"/>
          </w:tcPr>
          <w:p>
            <w:r/>
            <w:r>
              <w:rPr>
                <w:b w:val="0"/>
                <w:sz w:val="17"/>
              </w:rPr>
              <w:t>Produit créé avec national_product_id.</w:t>
            </w:r>
          </w:p>
        </w:tc>
      </w:tr>
      <w:tr>
        <w:tc>
          <w:tcPr>
            <w:tcW w:type="dxa" w:w="5102"/>
            <w:vAlign w:val="center"/>
          </w:tcPr>
          <w:p>
            <w:r/>
            <w:r>
              <w:rPr>
                <w:b w:val="0"/>
                <w:sz w:val="17"/>
              </w:rPr>
              <w:t>AMM expirée non ajoutable</w:t>
            </w:r>
          </w:p>
        </w:tc>
        <w:tc>
          <w:tcPr>
            <w:tcW w:type="dxa" w:w="4535"/>
            <w:vAlign w:val="center"/>
          </w:tcPr>
          <w:p>
            <w:r/>
            <w:r>
              <w:rPr>
                <w:b w:val="0"/>
                <w:sz w:val="17"/>
              </w:rPr>
              <w:t>Blocage applicatif.</w:t>
            </w:r>
          </w:p>
        </w:tc>
      </w:tr>
      <w:tr>
        <w:tc>
          <w:tcPr>
            <w:tcW w:type="dxa" w:w="5102"/>
            <w:vAlign w:val="center"/>
          </w:tcPr>
          <w:p>
            <w:r/>
            <w:r>
              <w:rPr>
                <w:b w:val="0"/>
                <w:sz w:val="17"/>
              </w:rPr>
              <w:t>Ajout manuel contrôlé</w:t>
            </w:r>
          </w:p>
        </w:tc>
        <w:tc>
          <w:tcPr>
            <w:tcW w:type="dxa" w:w="4535"/>
            <w:vAlign w:val="center"/>
          </w:tcPr>
          <w:p>
            <w:r/>
            <w:r>
              <w:rPr>
                <w:b w:val="0"/>
                <w:sz w:val="17"/>
              </w:rPr>
              <w:t>Doublon détecté.</w:t>
            </w:r>
          </w:p>
        </w:tc>
      </w:tr>
      <w:tr>
        <w:tc>
          <w:tcPr>
            <w:tcW w:type="dxa" w:w="5102"/>
            <w:vAlign w:val="center"/>
          </w:tcPr>
          <w:p>
            <w:r/>
            <w:r>
              <w:rPr>
                <w:b w:val="0"/>
                <w:sz w:val="17"/>
              </w:rPr>
              <w:t>Ajout lot</w:t>
            </w:r>
          </w:p>
        </w:tc>
        <w:tc>
          <w:tcPr>
            <w:tcW w:type="dxa" w:w="4535"/>
            <w:vAlign w:val="center"/>
          </w:tcPr>
          <w:p>
            <w:r/>
            <w:r>
              <w:rPr>
                <w:b w:val="0"/>
                <w:sz w:val="17"/>
              </w:rPr>
              <w:t>Stock total mis à jour.</w:t>
            </w:r>
          </w:p>
        </w:tc>
      </w:tr>
      <w:tr>
        <w:tc>
          <w:tcPr>
            <w:tcW w:type="dxa" w:w="5102"/>
            <w:vAlign w:val="center"/>
          </w:tcPr>
          <w:p>
            <w:r/>
            <w:r>
              <w:rPr>
                <w:b w:val="0"/>
                <w:sz w:val="17"/>
              </w:rPr>
              <w:t>Vente et facture</w:t>
            </w:r>
          </w:p>
        </w:tc>
        <w:tc>
          <w:tcPr>
            <w:tcW w:type="dxa" w:w="4535"/>
            <w:vAlign w:val="center"/>
          </w:tcPr>
          <w:p>
            <w:r/>
            <w:r>
              <w:rPr>
                <w:b w:val="0"/>
                <w:sz w:val="17"/>
              </w:rPr>
              <w:t>Facture générée, marge calculée.</w:t>
            </w:r>
          </w:p>
        </w:tc>
      </w:tr>
      <w:tr>
        <w:tc>
          <w:tcPr>
            <w:tcW w:type="dxa" w:w="5102"/>
            <w:vAlign w:val="center"/>
          </w:tcPr>
          <w:p>
            <w:r/>
            <w:r>
              <w:rPr>
                <w:b w:val="0"/>
                <w:sz w:val="17"/>
              </w:rPr>
              <w:t>PWA mobile</w:t>
            </w:r>
          </w:p>
        </w:tc>
        <w:tc>
          <w:tcPr>
            <w:tcW w:type="dxa" w:w="4535"/>
            <w:vAlign w:val="center"/>
          </w:tcPr>
          <w:p>
            <w:r/>
            <w:r>
              <w:rPr>
                <w:b w:val="0"/>
                <w:sz w:val="17"/>
              </w:rPr>
              <w:t>Barre basse, menu, sortir visibles.</w:t>
            </w:r>
          </w:p>
        </w:tc>
      </w:tr>
      <w:tr>
        <w:tc>
          <w:tcPr>
            <w:tcW w:type="dxa" w:w="5102"/>
            <w:vAlign w:val="center"/>
          </w:tcPr>
          <w:p>
            <w:r/>
            <w:r>
              <w:rPr>
                <w:b w:val="0"/>
                <w:sz w:val="17"/>
              </w:rPr>
              <w:t>Impression terminal</w:t>
            </w:r>
          </w:p>
        </w:tc>
        <w:tc>
          <w:tcPr>
            <w:tcW w:type="dxa" w:w="4535"/>
            <w:vAlign w:val="center"/>
          </w:tcPr>
          <w:p>
            <w:r/>
            <w:r>
              <w:rPr>
                <w:b w:val="0"/>
                <w:sz w:val="17"/>
              </w:rPr>
              <w:t>À valider sur terminal réel.</w:t>
            </w:r>
          </w:p>
        </w:tc>
      </w:tr>
    </w:tbl>
    <w:p/>
    <w:tbl>
      <w:tblPr>
        <w:tblW w:type="auto" w:w="0"/>
        <w:jc w:val="center"/>
        <w:tblLook w:firstColumn="1" w:firstRow="1" w:lastColumn="0" w:lastRow="0" w:noHBand="0" w:noVBand="1" w:val="04A0"/>
      </w:tblPr>
      <w:tblGrid>
        <w:gridCol w:w="10426"/>
      </w:tblGrid>
      <w:tr>
        <w:tc>
          <w:tcPr>
            <w:tcW w:type="dxa" w:w="10426"/>
            <w:shd w:fill="FEF3C7"/>
          </w:tcPr>
          <w:p>
            <w:r>
              <w:rPr>
                <w:b/>
                <w:color w:val="B45309"/>
                <w:sz w:val="20"/>
              </w:rPr>
              <w:t>Point de vigilance final</w:t>
              <w:br/>
            </w:r>
            <w:r>
              <w:rPr>
                <w:color w:val="0F172A"/>
                <w:sz w:val="18"/>
              </w:rPr>
              <w:t>Le passage en production ne doit pas se limiter au déploiement. Il faut valider la caisse mobile, les impressions, la disponibilité internet et la capacité du personnel à utiliser le terminal.</w:t>
            </w:r>
          </w:p>
        </w:tc>
      </w:tr>
    </w:tbl>
    <w:p/>
    <w:sectPr w:rsidR="00FC693F" w:rsidRPr="0006063C" w:rsidSect="00034616">
      <w:headerReference w:type="default" r:id="rId10"/>
      <w:footerReference w:type="default" r:id="rId11"/>
      <w:pgSz w:w="12240" w:h="15840"/>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Aksantic Technology - document de travail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Mpangi_Pharma | Guide administrateur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D4ED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D4ED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0F172A"/>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